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ind w:left="360"/>
        <w:spacing w:after="0" w:line="997" w:lineRule="exact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5"/>
          <w:szCs w:val="55"/>
          <w:color w:val="auto"/>
        </w:rPr>
        <w:t>PAC-</w:t>
      </w:r>
      <w:r>
        <w:rPr>
          <w:rFonts w:ascii="黑体" w:cs="黑体" w:eastAsia="黑体" w:hAnsi="黑体"/>
          <w:sz w:val="109"/>
          <w:szCs w:val="109"/>
          <w:color w:val="auto"/>
          <w:vertAlign w:val="subscript"/>
        </w:rPr>
        <w:t>42</w:t>
      </w:r>
      <w:r>
        <w:rPr>
          <w:rFonts w:ascii="Arial" w:cs="Arial" w:eastAsia="Arial" w:hAnsi="Arial"/>
          <w:sz w:val="55"/>
          <w:szCs w:val="55"/>
          <w:color w:val="auto"/>
        </w:rPr>
        <w:t>GH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4 个插槽半长卡紧凑式机箱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-491490</wp:posOffset>
            </wp:positionV>
            <wp:extent cx="6497955" cy="513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ind w:left="3800"/>
        <w:spacing w:after="0" w:line="15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电源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LED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HDD LED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366395</wp:posOffset>
            </wp:positionH>
            <wp:positionV relativeFrom="paragraph">
              <wp:posOffset>-93980</wp:posOffset>
            </wp:positionV>
            <wp:extent cx="3307080" cy="24739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7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5100"/>
        <w:spacing w:after="0" w:line="20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3"/>
          <w:szCs w:val="13"/>
          <w:color w:val="auto"/>
        </w:rPr>
        <w:t xml:space="preserve"> 重启键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4980"/>
        <w:spacing w:after="0" w:line="21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4544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3"/>
          <w:szCs w:val="13"/>
          <w:color w:val="auto"/>
        </w:rPr>
        <w:t xml:space="preserve">2 </w:t>
      </w:r>
      <w:r>
        <w:rPr>
          <w:rFonts w:ascii="Arial" w:cs="Arial" w:eastAsia="Arial" w:hAnsi="Arial"/>
          <w:sz w:val="13"/>
          <w:szCs w:val="13"/>
          <w:color w:val="auto"/>
        </w:rPr>
        <w:t>x USB</w:t>
      </w:r>
      <w:r>
        <w:rPr>
          <w:rFonts w:ascii="黑体" w:cs="黑体" w:eastAsia="黑体" w:hAnsi="黑体"/>
          <w:sz w:val="13"/>
          <w:szCs w:val="13"/>
          <w:color w:val="auto"/>
        </w:rPr>
        <w:t xml:space="preserve"> 接口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LPT</w:t>
      </w:r>
    </w:p>
    <w:p>
      <w:pPr>
        <w:ind w:left="460"/>
        <w:spacing w:after="0" w:line="14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开口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left="6440"/>
        <w:spacing w:after="0" w:line="146" w:lineRule="exact"/>
        <w:tabs>
          <w:tab w:leader="none" w:pos="85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5”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HDD </w:t>
      </w:r>
      <w:r>
        <w:rPr>
          <w:rFonts w:ascii="黑体" w:cs="黑体" w:eastAsia="黑体" w:hAnsi="黑体"/>
          <w:sz w:val="12"/>
          <w:szCs w:val="12"/>
          <w:color w:val="auto"/>
        </w:rPr>
        <w:t>支架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2 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5” </w:t>
      </w:r>
      <w:r>
        <w:rPr>
          <w:rFonts w:ascii="Arial" w:cs="Arial" w:eastAsia="Arial" w:hAnsi="Arial"/>
          <w:sz w:val="11"/>
          <w:szCs w:val="11"/>
          <w:color w:val="auto"/>
        </w:rPr>
        <w:t>HDD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支架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3789680</wp:posOffset>
            </wp:positionH>
            <wp:positionV relativeFrom="paragraph">
              <wp:posOffset>-31115</wp:posOffset>
            </wp:positionV>
            <wp:extent cx="2537460" cy="12255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COM</w:t>
      </w:r>
    </w:p>
    <w:p>
      <w:pPr>
        <w:ind w:left="460"/>
        <w:spacing w:after="0" w:line="14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开口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480"/>
        <w:spacing w:after="0" w:line="14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电源开关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10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产品包装不包括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FDD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前面板设有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USB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8</w:t>
      </w:r>
      <w:r>
        <w:rPr>
          <w:rFonts w:ascii="Arial" w:cs="Arial" w:eastAsia="Arial" w:hAnsi="Arial"/>
          <w:sz w:val="16"/>
          <w:szCs w:val="16"/>
          <w:color w:val="auto"/>
        </w:rPr>
        <w:t xml:space="preserve">cm </w:t>
      </w:r>
      <w:r>
        <w:rPr>
          <w:rFonts w:ascii="黑体" w:cs="黑体" w:eastAsia="黑体" w:hAnsi="黑体"/>
          <w:sz w:val="16"/>
          <w:szCs w:val="16"/>
          <w:color w:val="auto"/>
        </w:rPr>
        <w:t>冷却风扇可更换过滤器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</w:t>
      </w:r>
      <w:r>
        <w:rPr>
          <w:rFonts w:ascii="Arial" w:cs="Arial" w:eastAsia="Arial" w:hAnsi="Arial"/>
          <w:sz w:val="16"/>
          <w:szCs w:val="16"/>
          <w:color w:val="auto"/>
        </w:rPr>
        <w:t xml:space="preserve">HDD </w:t>
      </w:r>
      <w:r>
        <w:rPr>
          <w:rFonts w:ascii="黑体" w:cs="黑体" w:eastAsia="黑体" w:hAnsi="黑体"/>
          <w:sz w:val="16"/>
          <w:szCs w:val="16"/>
          <w:color w:val="auto"/>
        </w:rPr>
        <w:t>或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</w:t>
      </w:r>
      <w:r>
        <w:rPr>
          <w:rFonts w:ascii="Arial" w:cs="Arial" w:eastAsia="Arial" w:hAnsi="Arial"/>
          <w:sz w:val="16"/>
          <w:szCs w:val="16"/>
          <w:color w:val="auto"/>
        </w:rPr>
        <w:t>HDD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48895</wp:posOffset>
            </wp:positionV>
            <wp:extent cx="3168015" cy="29552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0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half-size, slot CPU cards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驱动组合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Front-accessible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" and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Front-accessible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and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~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31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53975</wp:posOffset>
            </wp:positionV>
            <wp:extent cx="3157220" cy="12045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8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AP/IP-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</w:p>
        </w:tc>
        <w:tc>
          <w:tcPr>
            <w:tcW w:w="2940" w:type="dxa"/>
            <w:vAlign w:val="bottom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half-size chassis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AP-RS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AP/BP-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</w:p>
        </w:tc>
        <w:tc>
          <w:tcPr>
            <w:tcW w:w="2940" w:type="dxa"/>
            <w:vAlign w:val="bottom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half-size chassis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AP-RS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AP/IP-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2940" w:type="dxa"/>
            <w:vAlign w:val="bottom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half-size chassis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AP-RS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GHWPX-R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2940" w:type="dxa"/>
            <w:vAlign w:val="bottom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-slot half-size compact chassis, white,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 fan,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shd w:val="clear" w:color="auto" w:fill="DBEEE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102235</wp:posOffset>
            </wp:positionV>
            <wp:extent cx="2987040" cy="26638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47625</wp:posOffset>
            </wp:positionV>
            <wp:extent cx="3171190" cy="15036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1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PCI/PICOe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PCI/PICOe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4525" cy="4806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7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 w:right="56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PAC-</w:t>
      </w:r>
      <w:r>
        <w:rPr>
          <w:rFonts w:ascii="黑体" w:cs="黑体" w:eastAsia="黑体" w:hAnsi="黑体"/>
          <w:sz w:val="12"/>
          <w:szCs w:val="12"/>
          <w:color w:val="auto"/>
        </w:rPr>
        <w:t>42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U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。想了解威强电更多的电源产品，请参考章节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106680</wp:posOffset>
            </wp:positionV>
            <wp:extent cx="7560310" cy="3206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200" w:space="28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42</w:t>
      </w:r>
      <w:r>
        <w:rPr>
          <w:rFonts w:ascii="Arial" w:cs="Arial" w:eastAsia="Arial" w:hAnsi="Arial"/>
          <w:sz w:val="16"/>
          <w:szCs w:val="16"/>
          <w:color w:val="FFFFFF"/>
        </w:rPr>
        <w:t>GH-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2019-11-19T10:33:29Z</dcterms:created>
  <dcterms:modified xsi:type="dcterms:W3CDTF">2019-11-19T10:33:29Z</dcterms:modified>
</cp:coreProperties>
</file>