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 w:line="966" w:lineRule="exact"/>
        <w:tabs>
          <w:tab w:leader="none" w:pos="5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EKI-2725/I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27"/>
          <w:szCs w:val="27"/>
          <w:b w:val="1"/>
          <w:bCs w:val="1"/>
          <w:u w:val="single" w:color="auto"/>
          <w:color w:val="333333"/>
        </w:rPr>
        <w:t>5</w:t>
      </w:r>
      <w:r>
        <w:rPr>
          <w:rFonts w:ascii="宋体" w:cs="宋体" w:eastAsia="宋体" w:hAnsi="宋体"/>
          <w:sz w:val="27"/>
          <w:szCs w:val="27"/>
          <w:b w:val="1"/>
          <w:bCs w:val="1"/>
          <w:u w:val="single" w:color="auto"/>
          <w:color w:val="333333"/>
        </w:rPr>
        <w:t>端口千兆非网管工业以太网交换机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165100</wp:posOffset>
            </wp:positionV>
            <wp:extent cx="6332220" cy="2304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提供</w:t>
      </w:r>
      <w:r>
        <w:rPr>
          <w:rFonts w:ascii="Helvetica" w:cs="Helvetica" w:eastAsia="Helvetica" w:hAnsi="Helvetica"/>
          <w:sz w:val="16"/>
          <w:szCs w:val="16"/>
          <w:color w:val="auto"/>
        </w:rPr>
        <w:t>5</w:t>
      </w:r>
      <w:r>
        <w:rPr>
          <w:rFonts w:ascii="宋体" w:cs="宋体" w:eastAsia="宋体" w:hAnsi="宋体"/>
          <w:sz w:val="16"/>
          <w:szCs w:val="16"/>
          <w:color w:val="auto"/>
        </w:rPr>
        <w:t>个千兆自适应以太网口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10/100/1000Mbps</w:t>
      </w:r>
      <w:r>
        <w:rPr>
          <w:rFonts w:ascii="宋体" w:cs="宋体" w:eastAsia="宋体" w:hAnsi="宋体"/>
          <w:sz w:val="16"/>
          <w:szCs w:val="16"/>
          <w:color w:val="auto"/>
        </w:rPr>
        <w:t>自适应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支持最大</w:t>
      </w:r>
      <w:r>
        <w:rPr>
          <w:rFonts w:ascii="Arial" w:cs="Arial" w:eastAsia="Arial" w:hAnsi="Arial"/>
          <w:sz w:val="16"/>
          <w:szCs w:val="16"/>
          <w:color w:val="auto"/>
        </w:rPr>
        <w:t>9k</w:t>
      </w:r>
      <w:r>
        <w:rPr>
          <w:rFonts w:ascii="宋体" w:cs="宋体" w:eastAsia="宋体" w:hAnsi="宋体"/>
          <w:sz w:val="16"/>
          <w:szCs w:val="16"/>
          <w:color w:val="auto"/>
        </w:rPr>
        <w:t>字节的巨帧传输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结构紧凑，支持</w:t>
      </w:r>
      <w:r>
        <w:rPr>
          <w:rFonts w:ascii="Arial" w:cs="Arial" w:eastAsia="Arial" w:hAnsi="Arial"/>
          <w:sz w:val="16"/>
          <w:szCs w:val="16"/>
          <w:color w:val="auto"/>
        </w:rPr>
        <w:t>DIN</w:t>
      </w:r>
      <w:r>
        <w:rPr>
          <w:rFonts w:ascii="宋体" w:cs="宋体" w:eastAsia="宋体" w:hAnsi="宋体"/>
          <w:sz w:val="16"/>
          <w:szCs w:val="16"/>
          <w:color w:val="auto"/>
        </w:rPr>
        <w:t>导轨安装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12-48VDC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冗余电源输入和继电器报警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53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提供广播风暴保护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1527810</wp:posOffset>
            </wp:positionH>
            <wp:positionV relativeFrom="paragraph">
              <wp:posOffset>782320</wp:posOffset>
            </wp:positionV>
            <wp:extent cx="1557020" cy="2425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tabs>
          <w:tab w:leader="none" w:pos="34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EKI-2725/2728</w:t>
      </w:r>
      <w:r>
        <w:rPr>
          <w:rFonts w:ascii="宋体" w:cs="宋体" w:eastAsia="宋体" w:hAnsi="宋体"/>
          <w:sz w:val="16"/>
          <w:szCs w:val="16"/>
          <w:color w:val="auto"/>
        </w:rPr>
        <w:t>设备具有</w:t>
      </w:r>
      <w:r>
        <w:rPr>
          <w:rFonts w:ascii="Helvetica" w:cs="Helvetica" w:eastAsia="Helvetica" w:hAnsi="Helvetica"/>
          <w:sz w:val="16"/>
          <w:szCs w:val="16"/>
          <w:color w:val="auto"/>
        </w:rPr>
        <w:t>EKI</w:t>
      </w:r>
      <w:r>
        <w:rPr>
          <w:rFonts w:ascii="宋体" w:cs="宋体" w:eastAsia="宋体" w:hAnsi="宋体"/>
          <w:sz w:val="16"/>
          <w:szCs w:val="16"/>
          <w:color w:val="auto"/>
        </w:rPr>
        <w:t>系列标准性能。它提供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5"/>
          <w:szCs w:val="15"/>
          <w:color w:val="auto"/>
        </w:rPr>
        <w:t>12~48VDC</w:t>
      </w:r>
      <w:r>
        <w:rPr>
          <w:rFonts w:ascii="宋体" w:cs="宋体" w:eastAsia="宋体" w:hAnsi="宋体"/>
          <w:sz w:val="15"/>
          <w:szCs w:val="15"/>
          <w:color w:val="auto"/>
        </w:rPr>
        <w:t>冗余电源输入设计及电源极性反接保护、过载可重设保险管双重安全保护机制。前者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0"/>
        <w:spacing w:after="0" w:line="19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可保证当电源连线正、负端被接反时，设备也不会因此损坏，仍会正常工作。后者可保证电源连接恢复正常时，系统免于过载电流的损害并回到正常工作状态。</w:t>
      </w:r>
      <w:r>
        <w:rPr>
          <w:rFonts w:ascii="Helvetica" w:cs="Helvetica" w:eastAsia="Helvetica" w:hAnsi="Helvetica"/>
          <w:sz w:val="16"/>
          <w:szCs w:val="16"/>
          <w:color w:val="auto"/>
        </w:rPr>
        <w:t>EKI-2725/2728</w:t>
      </w:r>
      <w:r>
        <w:rPr>
          <w:rFonts w:ascii="宋体" w:cs="宋体" w:eastAsia="宋体" w:hAnsi="宋体"/>
          <w:sz w:val="16"/>
          <w:szCs w:val="16"/>
          <w:color w:val="auto"/>
        </w:rPr>
        <w:t>的每个端口都有连接状态传输速度及冲突状态的指示灯。在电源发生故障时，设备将会使用继电器输出，</w:t>
      </w:r>
      <w:r>
        <w:rPr>
          <w:rFonts w:ascii="Helvetica" w:cs="Helvetica" w:eastAsia="Helvetica" w:hAnsi="Helvetica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指示灯亮并报警通知管理员。工程师可方便地通过指示灯对硬件进行快速的检查及故障诊断。</w:t>
      </w:r>
      <w:r>
        <w:rPr>
          <w:rFonts w:ascii="Arial" w:cs="Arial" w:eastAsia="Arial" w:hAnsi="Arial"/>
          <w:sz w:val="16"/>
          <w:szCs w:val="16"/>
          <w:color w:val="auto"/>
        </w:rPr>
        <w:t>EKI-2725</w:t>
      </w:r>
      <w:r>
        <w:rPr>
          <w:rFonts w:ascii="宋体" w:cs="宋体" w:eastAsia="宋体" w:hAnsi="宋体"/>
          <w:sz w:val="16"/>
          <w:szCs w:val="16"/>
          <w:color w:val="auto"/>
        </w:rPr>
        <w:t>配备了紧凑型金属外壳，防护等级为</w:t>
      </w:r>
      <w:r>
        <w:rPr>
          <w:rFonts w:ascii="Arial" w:cs="Arial" w:eastAsia="Arial" w:hAnsi="Arial"/>
          <w:sz w:val="16"/>
          <w:szCs w:val="16"/>
          <w:color w:val="auto"/>
        </w:rPr>
        <w:t>IP30</w:t>
      </w:r>
      <w:r>
        <w:rPr>
          <w:rFonts w:ascii="宋体" w:cs="宋体" w:eastAsia="宋体" w:hAnsi="宋体"/>
          <w:sz w:val="16"/>
          <w:szCs w:val="16"/>
          <w:color w:val="auto"/>
        </w:rPr>
        <w:t>，有助于防止尘土飞扬的工业环境。</w:t>
      </w:r>
    </w:p>
    <w:p>
      <w:pPr>
        <w:sectPr>
          <w:pgSz w:w="12240" w:h="15930" w:orient="portrait"/>
          <w:cols w:equalWidth="0" w:num="1">
            <w:col w:w="10100"/>
          </w:cols>
          <w:pgMar w:left="1120" w:top="1041" w:right="102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300" w:type="dxa"/>
            <w:vAlign w:val="bottom"/>
            <w:gridSpan w:val="2"/>
          </w:tcPr>
          <w:p>
            <w:pPr>
              <w:ind w:left="2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0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IEEE 802.3, 802.3u, 802.3x, 802.3ab</w:t>
            </w:r>
          </w:p>
        </w:tc>
      </w:tr>
      <w:tr>
        <w:trPr>
          <w:trHeight w:val="214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0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10/100/1000Base-T(X)</w:t>
            </w:r>
          </w:p>
        </w:tc>
      </w:tr>
      <w:tr>
        <w:trPr>
          <w:trHeight w:val="226"/>
        </w:trPr>
        <w:tc>
          <w:tcPr>
            <w:tcW w:w="130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0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Up to 100 m (4-wire Cat.5e, Cat.6 RJ45 cable)</w:t>
            </w:r>
          </w:p>
        </w:tc>
      </w:tr>
      <w:tr>
        <w:trPr>
          <w:trHeight w:val="215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0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1000 Mbps</w:t>
            </w: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x RJ45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6-pin removable screw terminal (power &amp; relay)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指示灯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P1, P2, P-Fail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10/100/1000T (X): Link/Activity, Duplex/Collision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功耗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2.5W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电源输入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12 ~ 48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>, redundant dual inputs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电源输出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1 Relay Output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机构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尺寸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(W x H x D)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30 x 140 x 95 mm (1.18" x 5.51" x 3.74")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IP30, Metal shell with solid mounting kits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DIN-rail, Wall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6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2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操作温度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-10 ~ 60°C (14</w:t>
            </w:r>
          </w:p>
        </w:tc>
        <w:tc>
          <w:tcPr>
            <w:tcW w:w="1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140°F)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 ~ 75°C (-40</w:t>
            </w:r>
          </w:p>
        </w:tc>
        <w:tc>
          <w:tcPr>
            <w:tcW w:w="1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~ 167°F) / (I model)</w:t>
            </w:r>
          </w:p>
        </w:tc>
      </w:tr>
      <w:tr>
        <w:trPr>
          <w:trHeight w:val="22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2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储存温度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85°C (-40 ~ 185°F)</w:t>
            </w:r>
          </w:p>
        </w:tc>
      </w:tr>
      <w:tr>
        <w:trPr>
          <w:trHeight w:val="209"/>
        </w:trPr>
        <w:tc>
          <w:tcPr>
            <w:tcW w:w="126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操作湿度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95% (non-condensing)</w:t>
            </w:r>
          </w:p>
        </w:tc>
      </w:tr>
      <w:tr>
        <w:trPr>
          <w:trHeight w:val="221"/>
        </w:trPr>
        <w:tc>
          <w:tcPr>
            <w:tcW w:w="126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储存湿度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95% (non-condensing)</w:t>
            </w:r>
          </w:p>
        </w:tc>
      </w:tr>
      <w:tr>
        <w:trPr>
          <w:trHeight w:val="212"/>
        </w:trPr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MTBF</w:t>
            </w:r>
          </w:p>
        </w:tc>
        <w:tc>
          <w:tcPr>
            <w:tcW w:w="2480" w:type="dxa"/>
            <w:vAlign w:val="bottom"/>
            <w:gridSpan w:val="3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2,296,909 hours</w:t>
            </w:r>
          </w:p>
        </w:tc>
      </w:tr>
    </w:tbl>
    <w:p>
      <w:pPr>
        <w:spacing w:after="0" w:line="153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26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 60950</w:t>
            </w:r>
          </w:p>
        </w:tc>
      </w:tr>
      <w:tr>
        <w:trPr>
          <w:trHeight w:val="21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4"/>
              </w:rPr>
              <w:t>CE, FCC Class A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61000-4-2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61000-4-3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61000-4-4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61000-4-5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61000-4-6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EN 61000-4-8</w:t>
            </w:r>
          </w:p>
        </w:tc>
      </w:tr>
      <w:tr>
        <w:trPr>
          <w:trHeight w:val="222"/>
        </w:trPr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IEC 60068-2-27</w:t>
            </w:r>
          </w:p>
        </w:tc>
      </w:tr>
      <w:tr>
        <w:trPr>
          <w:trHeight w:val="218"/>
        </w:trPr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IEC 60068-2-32</w:t>
            </w:r>
          </w:p>
        </w:tc>
      </w:tr>
      <w:tr>
        <w:trPr>
          <w:trHeight w:val="218"/>
        </w:trPr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144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IEC 60068-2-6</w:t>
            </w:r>
          </w:p>
        </w:tc>
      </w:tr>
    </w:tbl>
    <w:p>
      <w:pPr>
        <w:spacing w:after="0" w:line="384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40" w:space="600"/>
            <w:col w:w="4960"/>
          </w:cols>
          <w:pgMar w:left="1120" w:top="1041" w:right="1020" w:bottom="0" w:gutter="0" w:footer="0" w:header="0"/>
          <w:type w:val="continuous"/>
        </w:sect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保护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893445</wp:posOffset>
            </wp:positionV>
            <wp:extent cx="634301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jc w:val="right"/>
        <w:ind w:right="66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Communication</w:t>
      </w:r>
    </w:p>
    <w:p>
      <w:pPr>
        <w:sectPr>
          <w:pgSz w:w="12240" w:h="15930" w:orient="portrait"/>
          <w:cols w:equalWidth="0" w:num="1">
            <w:col w:w="10100"/>
          </w:cols>
          <w:pgMar w:left="1120" w:top="1041" w:right="102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12-Feb-2018</w:t>
      </w:r>
    </w:p>
    <w:p>
      <w:pPr>
        <w:sectPr>
          <w:pgSz w:w="12240" w:h="15930" w:orient="portrait"/>
          <w:cols w:equalWidth="0" w:num="1">
            <w:col w:w="10100"/>
          </w:cols>
          <w:pgMar w:left="1120" w:top="1041" w:right="10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1331595</wp:posOffset>
                </wp:positionV>
                <wp:extent cx="633285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5pt,104.85pt" to="555.3pt,104.85pt" o:allowincell="f" strokecolor="#00044C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1445895</wp:posOffset>
                </wp:positionV>
                <wp:extent cx="633285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5pt,113.85pt" to="555.3pt,113.85pt" o:allowincell="f" strokecolor="#000000" strokeweight="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1439545</wp:posOffset>
                </wp:positionV>
                <wp:extent cx="0" cy="41402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15pt,113.35pt" to="57.15pt,439.35pt" o:allowincell="f" strokecolor="#000000" strokeweight="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1439545</wp:posOffset>
                </wp:positionV>
                <wp:extent cx="0" cy="41402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4.8pt,113.35pt" to="554.8pt,439.35pt" o:allowincell="f" strokecolor="#000000" strokeweight="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5573395</wp:posOffset>
                </wp:positionV>
                <wp:extent cx="633285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5pt,438.85pt" to="555.3pt,438.85pt" o:allowincell="f" strokecolor="#000000" strokeweight="1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2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tbl>
      <w:tblPr>
        <w:tblLayout w:type="fixed"/>
        <w:tblInd w:w="1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jc w:val="right"/>
              <w:ind w:right="10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47.30 [1.86]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3480" w:type="dxa"/>
            <w:vAlign w:val="bottom"/>
            <w:gridSpan w:val="2"/>
          </w:tcPr>
          <w:p>
            <w:pPr>
              <w:jc w:val="right"/>
              <w:ind w:right="17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18 [0.71]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4"/>
        </w:trPr>
        <w:tc>
          <w:tcPr>
            <w:tcW w:w="1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 [0.59]</w:t>
            </w:r>
          </w:p>
        </w:tc>
        <w:tc>
          <w:tcPr>
            <w:tcW w:w="2200" w:type="dxa"/>
            <w:vAlign w:val="bottom"/>
            <w:textDirection w:val="btLr"/>
          </w:tcPr>
          <w:p>
            <w:pPr>
              <w:ind w:right="19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13.75 [0.54]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7"/>
        </w:trPr>
        <w:tc>
          <w:tcPr>
            <w:tcW w:w="1280" w:type="dxa"/>
            <w:vAlign w:val="bottom"/>
            <w:vMerge w:val="restart"/>
            <w:textDirection w:val="btLr"/>
          </w:tcPr>
          <w:p>
            <w:pPr>
              <w:ind w:right="3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3"/>
              </w:rPr>
              <w:t>140[5.5]</w:t>
            </w:r>
          </w:p>
        </w:tc>
        <w:tc>
          <w:tcPr>
            <w:tcW w:w="2200" w:type="dxa"/>
            <w:vAlign w:val="bottom"/>
          </w:tcPr>
          <w:p>
            <w:pPr>
              <w:jc w:val="right"/>
              <w:ind w:right="8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 [4.09]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  <w:w w:val="64"/>
              </w:rPr>
              <w:t>47[1.85]45[1.77]10.[0.40]20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280" w:type="dxa"/>
            <w:vAlign w:val="bottom"/>
          </w:tcPr>
          <w:p>
            <w:pPr>
              <w:jc w:val="right"/>
              <w:ind w:right="7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30 [1.18]</w:t>
            </w:r>
          </w:p>
        </w:tc>
        <w:tc>
          <w:tcPr>
            <w:tcW w:w="2200" w:type="dxa"/>
            <w:vAlign w:val="bottom"/>
          </w:tcPr>
          <w:p>
            <w:pPr>
              <w:jc w:val="right"/>
              <w:ind w:right="8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 [3.74]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2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48 [1.89]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658495</wp:posOffset>
            </wp:positionH>
            <wp:positionV relativeFrom="paragraph">
              <wp:posOffset>-1363980</wp:posOffset>
            </wp:positionV>
            <wp:extent cx="492125" cy="1406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1810385</wp:posOffset>
            </wp:positionH>
            <wp:positionV relativeFrom="paragraph">
              <wp:posOffset>-1512570</wp:posOffset>
            </wp:positionV>
            <wp:extent cx="1035050" cy="16383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1470025</wp:posOffset>
            </wp:positionH>
            <wp:positionV relativeFrom="paragraph">
              <wp:posOffset>-2727960</wp:posOffset>
            </wp:positionV>
            <wp:extent cx="1198880" cy="8032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1814830</wp:posOffset>
            </wp:positionH>
            <wp:positionV relativeFrom="paragraph">
              <wp:posOffset>360680</wp:posOffset>
            </wp:positionV>
            <wp:extent cx="854075" cy="255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EKI-2725-CE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5-port Gigabit Unmanaged Switch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EKI-2725I-CE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5-port Gigabit Unmanaged Switch w/wide temp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3474720</wp:posOffset>
                </wp:positionV>
                <wp:extent cx="6331585" cy="1644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-0.2499pt;margin-top:273.6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EKI-2725/I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[mm]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30 [1.18]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104 [4.09]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-8890</wp:posOffset>
            </wp:positionV>
            <wp:extent cx="429895" cy="1399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1017905</wp:posOffset>
            </wp:positionH>
            <wp:positionV relativeFrom="paragraph">
              <wp:posOffset>-8890</wp:posOffset>
            </wp:positionV>
            <wp:extent cx="1050925" cy="1406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tbl>
      <w:tblPr>
        <w:tblLayout w:type="fixed"/>
        <w:tblInd w:w="322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6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20150. [5.9]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5318760</wp:posOffset>
                </wp:positionV>
                <wp:extent cx="1560195" cy="1397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74.25pt;margin-top:418.8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308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00" w:space="720"/>
            <w:col w:w="444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2019-11-18T15:58:31Z</dcterms:created>
  <dcterms:modified xsi:type="dcterms:W3CDTF">2019-11-18T15:58:31Z</dcterms:modified>
</cp:coreProperties>
</file>