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"/>
        <w:spacing w:after="0" w:line="966" w:lineRule="exact"/>
        <w:tabs>
          <w:tab w:leader="none" w:pos="5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4"/>
          <w:szCs w:val="84"/>
          <w:b w:val="1"/>
          <w:bCs w:val="1"/>
          <w:u w:val="single" w:color="auto"/>
          <w:color w:val="00044C"/>
        </w:rPr>
        <w:t>EKI-2728/I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27"/>
          <w:szCs w:val="27"/>
          <w:b w:val="1"/>
          <w:bCs w:val="1"/>
          <w:u w:val="single" w:color="auto"/>
          <w:color w:val="333333"/>
        </w:rPr>
        <w:t xml:space="preserve">8 </w:t>
      </w:r>
      <w:r>
        <w:rPr>
          <w:rFonts w:ascii="宋体" w:cs="宋体" w:eastAsia="宋体" w:hAnsi="宋体"/>
          <w:sz w:val="27"/>
          <w:szCs w:val="27"/>
          <w:b w:val="1"/>
          <w:bCs w:val="1"/>
          <w:u w:val="single" w:color="auto"/>
          <w:color w:val="333333"/>
        </w:rPr>
        <w:t>端口全千兆非网管型工业以太网交换</w:t>
      </w:r>
      <w:r>
        <w:rPr>
          <w:rFonts w:ascii="宋体" w:cs="宋体" w:eastAsia="宋体" w:hAnsi="宋体"/>
          <w:sz w:val="27"/>
          <w:szCs w:val="27"/>
          <w:b w:val="1"/>
          <w:bCs w:val="1"/>
          <w:color w:val="333333"/>
        </w:rPr>
        <w:t>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165100</wp:posOffset>
            </wp:positionV>
            <wp:extent cx="6332220" cy="2304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ind w:left="53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提供</w:t>
      </w:r>
      <w:r>
        <w:rPr>
          <w:rFonts w:ascii="Helvetica" w:cs="Helvetica" w:eastAsia="Helvetica" w:hAnsi="Helvetica"/>
          <w:sz w:val="16"/>
          <w:szCs w:val="16"/>
          <w:color w:val="auto"/>
        </w:rPr>
        <w:t>8</w:t>
      </w:r>
      <w:r>
        <w:rPr>
          <w:rFonts w:ascii="宋体" w:cs="宋体" w:eastAsia="宋体" w:hAnsi="宋体"/>
          <w:sz w:val="16"/>
          <w:szCs w:val="16"/>
          <w:color w:val="auto"/>
        </w:rPr>
        <w:t>个千兆自适应以太网口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10/100/1000Mbps</w:t>
      </w:r>
      <w:r>
        <w:rPr>
          <w:rFonts w:ascii="宋体" w:cs="宋体" w:eastAsia="宋体" w:hAnsi="宋体"/>
          <w:sz w:val="16"/>
          <w:szCs w:val="16"/>
          <w:color w:val="auto"/>
        </w:rPr>
        <w:t>自适应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支持最大</w:t>
      </w:r>
      <w:r>
        <w:rPr>
          <w:rFonts w:ascii="Arial" w:cs="Arial" w:eastAsia="Arial" w:hAnsi="Arial"/>
          <w:sz w:val="16"/>
          <w:szCs w:val="16"/>
          <w:color w:val="auto"/>
        </w:rPr>
        <w:t>9k</w:t>
      </w:r>
      <w:r>
        <w:rPr>
          <w:rFonts w:ascii="宋体" w:cs="宋体" w:eastAsia="宋体" w:hAnsi="宋体"/>
          <w:sz w:val="16"/>
          <w:szCs w:val="16"/>
          <w:color w:val="auto"/>
        </w:rPr>
        <w:t>字节的巨帧传输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结构紧凑，支持</w:t>
      </w:r>
      <w:r>
        <w:rPr>
          <w:rFonts w:ascii="Arial" w:cs="Arial" w:eastAsia="Arial" w:hAnsi="Arial"/>
          <w:sz w:val="16"/>
          <w:szCs w:val="16"/>
          <w:color w:val="auto"/>
        </w:rPr>
        <w:t>DIN</w:t>
      </w:r>
      <w:r>
        <w:rPr>
          <w:rFonts w:ascii="宋体" w:cs="宋体" w:eastAsia="宋体" w:hAnsi="宋体"/>
          <w:sz w:val="16"/>
          <w:szCs w:val="16"/>
          <w:color w:val="auto"/>
        </w:rPr>
        <w:t>导轨安装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53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12-48VDC</w:t>
      </w:r>
      <w:r>
        <w:rPr>
          <w:rFonts w:ascii="宋体" w:cs="宋体" w:eastAsia="宋体" w:hAnsi="宋体"/>
          <w:sz w:val="16"/>
          <w:szCs w:val="16"/>
          <w:color w:val="auto"/>
        </w:rPr>
        <w:t>冗余电源输入和继电器报警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left="53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提供广播风暴保护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1527810</wp:posOffset>
            </wp:positionH>
            <wp:positionV relativeFrom="paragraph">
              <wp:posOffset>479425</wp:posOffset>
            </wp:positionV>
            <wp:extent cx="1557020" cy="2425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b w:val="1"/>
          <w:bCs w:val="1"/>
          <w:color w:val="595959"/>
        </w:rPr>
        <w:t>COMPLIANT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2011/65/EU</w:t>
      </w:r>
    </w:p>
    <w:p>
      <w:pPr>
        <w:spacing w:after="0" w:line="113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right="300"/>
        <w:spacing w:after="0" w:line="198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EKI-2725/2728</w:t>
      </w:r>
      <w:r>
        <w:rPr>
          <w:rFonts w:ascii="宋体" w:cs="宋体" w:eastAsia="宋体" w:hAnsi="宋体"/>
          <w:sz w:val="16"/>
          <w:szCs w:val="16"/>
          <w:color w:val="auto"/>
        </w:rPr>
        <w:t>设备具有</w:t>
      </w:r>
      <w:r>
        <w:rPr>
          <w:rFonts w:ascii="Helvetica" w:cs="Helvetica" w:eastAsia="Helvetica" w:hAnsi="Helvetica"/>
          <w:sz w:val="16"/>
          <w:szCs w:val="16"/>
          <w:color w:val="auto"/>
        </w:rPr>
        <w:t>EKI</w:t>
      </w:r>
      <w:r>
        <w:rPr>
          <w:rFonts w:ascii="宋体" w:cs="宋体" w:eastAsia="宋体" w:hAnsi="宋体"/>
          <w:sz w:val="16"/>
          <w:szCs w:val="16"/>
          <w:color w:val="auto"/>
        </w:rPr>
        <w:t>系列标准性能。它提供</w:t>
      </w:r>
      <w:r>
        <w:rPr>
          <w:rFonts w:ascii="Helvetica" w:cs="Helvetica" w:eastAsia="Helvetica" w:hAnsi="Helvetica"/>
          <w:sz w:val="16"/>
          <w:szCs w:val="16"/>
          <w:color w:val="auto"/>
        </w:rPr>
        <w:t>12~48VDC</w:t>
      </w:r>
      <w:r>
        <w:rPr>
          <w:rFonts w:ascii="宋体" w:cs="宋体" w:eastAsia="宋体" w:hAnsi="宋体"/>
          <w:sz w:val="16"/>
          <w:szCs w:val="16"/>
          <w:color w:val="auto"/>
        </w:rPr>
        <w:t>冗余电源输入设计及电源极性反接保护、过载可重设保险管双重安全保护机制。前者可保证当电源连线正、负端被接反时，设备也不会因此损坏，仍会正常工作。后者可保证电源连接恢复正常时，系统免于过载电流的损害并回到正常工作状态。</w:t>
      </w:r>
      <w:r>
        <w:rPr>
          <w:rFonts w:ascii="Helvetica" w:cs="Helvetica" w:eastAsia="Helvetica" w:hAnsi="Helvetica"/>
          <w:sz w:val="16"/>
          <w:szCs w:val="16"/>
          <w:color w:val="auto"/>
        </w:rPr>
        <w:t>EKI-2725/2728</w:t>
      </w:r>
      <w:r>
        <w:rPr>
          <w:rFonts w:ascii="宋体" w:cs="宋体" w:eastAsia="宋体" w:hAnsi="宋体"/>
          <w:sz w:val="16"/>
          <w:szCs w:val="16"/>
          <w:color w:val="auto"/>
        </w:rPr>
        <w:t>的每个端口都有连接状态传输速度及冲突状态的指示灯。在电源发生故障时，设备将会使用继电器输出，</w:t>
      </w:r>
      <w:r>
        <w:rPr>
          <w:rFonts w:ascii="Helvetica" w:cs="Helvetica" w:eastAsia="Helvetica" w:hAnsi="Helvetica"/>
          <w:sz w:val="16"/>
          <w:szCs w:val="16"/>
          <w:color w:val="auto"/>
        </w:rPr>
        <w:t>LED</w:t>
      </w:r>
      <w:r>
        <w:rPr>
          <w:rFonts w:ascii="宋体" w:cs="宋体" w:eastAsia="宋体" w:hAnsi="宋体"/>
          <w:sz w:val="16"/>
          <w:szCs w:val="16"/>
          <w:color w:val="auto"/>
        </w:rPr>
        <w:t>指示灯亮并报警通知管理员。工程师可方便地通过指示灯对硬件进行快速的检查及故障诊断。</w:t>
      </w:r>
      <w:r>
        <w:rPr>
          <w:rFonts w:ascii="Helvetica" w:cs="Helvetica" w:eastAsia="Helvetica" w:hAnsi="Helvetica"/>
          <w:sz w:val="16"/>
          <w:szCs w:val="16"/>
          <w:color w:val="auto"/>
        </w:rPr>
        <w:t>EKI-2728</w:t>
      </w:r>
      <w:r>
        <w:rPr>
          <w:rFonts w:ascii="宋体" w:cs="宋体" w:eastAsia="宋体" w:hAnsi="宋体"/>
          <w:sz w:val="16"/>
          <w:szCs w:val="16"/>
          <w:color w:val="auto"/>
        </w:rPr>
        <w:t>配备了紧凑型金属外壳，防护等级为</w:t>
      </w:r>
      <w:r>
        <w:rPr>
          <w:rFonts w:ascii="Helvetica" w:cs="Helvetica" w:eastAsia="Helvetica" w:hAnsi="Helvetica"/>
          <w:sz w:val="16"/>
          <w:szCs w:val="16"/>
          <w:color w:val="auto"/>
        </w:rPr>
        <w:t>IP30</w:t>
      </w:r>
      <w:r>
        <w:rPr>
          <w:rFonts w:ascii="宋体" w:cs="宋体" w:eastAsia="宋体" w:hAnsi="宋体"/>
          <w:sz w:val="16"/>
          <w:szCs w:val="16"/>
          <w:color w:val="auto"/>
        </w:rPr>
        <w:t>，有助于防止尘土飞扬的工业环境。</w:t>
      </w:r>
    </w:p>
    <w:p>
      <w:pPr>
        <w:sectPr>
          <w:pgSz w:w="12240" w:h="15930" w:orient="portrait"/>
          <w:cols w:equalWidth="0" w:num="1">
            <w:col w:w="10280"/>
          </w:cols>
          <w:pgMar w:left="1120" w:top="1041" w:right="840" w:bottom="0" w:gutter="0" w:footer="0" w:header="0"/>
        </w:sect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通信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0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标准</w:t>
            </w:r>
          </w:p>
        </w:tc>
        <w:tc>
          <w:tcPr>
            <w:tcW w:w="302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IEEE 802.3, 802.3u, 802.3x, 802.3ab</w:t>
            </w:r>
          </w:p>
        </w:tc>
      </w:tr>
      <w:tr>
        <w:trPr>
          <w:trHeight w:val="214"/>
        </w:trPr>
        <w:tc>
          <w:tcPr>
            <w:tcW w:w="1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LAN</w:t>
            </w:r>
          </w:p>
        </w:tc>
        <w:tc>
          <w:tcPr>
            <w:tcW w:w="302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10/100/1000Base-T(X)</w:t>
            </w:r>
          </w:p>
        </w:tc>
      </w:tr>
      <w:tr>
        <w:trPr>
          <w:trHeight w:val="226"/>
        </w:trPr>
        <w:tc>
          <w:tcPr>
            <w:tcW w:w="124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传输距离</w:t>
            </w:r>
          </w:p>
        </w:tc>
        <w:tc>
          <w:tcPr>
            <w:tcW w:w="302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Up to 100 m (4-wire Cat.5e, Cat.6 RJ45 cable)</w:t>
            </w:r>
          </w:p>
        </w:tc>
      </w:tr>
      <w:tr>
        <w:trPr>
          <w:trHeight w:val="215"/>
        </w:trPr>
        <w:tc>
          <w:tcPr>
            <w:tcW w:w="1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0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传输速度</w:t>
            </w:r>
          </w:p>
        </w:tc>
        <w:tc>
          <w:tcPr>
            <w:tcW w:w="302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Up to 1000 Mbps</w:t>
            </w:r>
          </w:p>
        </w:tc>
      </w:tr>
    </w:tbl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接口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连接器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 x RJ45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6-pin removable screw terminal (power &amp; relay)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LED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指示灯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P1, P2, P-Fail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10/100/1000T (X): Link/Activity, Duplex/Collision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环境</w:t>
      </w:r>
    </w:p>
    <w:p>
      <w:pPr>
        <w:spacing w:after="0" w:line="5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工作温度</w:t>
            </w:r>
          </w:p>
        </w:tc>
        <w:tc>
          <w:tcPr>
            <w:tcW w:w="244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-10 ~ 60°C (14 ~ 140°F)</w:t>
            </w:r>
          </w:p>
        </w:tc>
      </w:tr>
      <w:tr>
        <w:trPr>
          <w:trHeight w:val="183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-40 ~ 75°C (-40 ~ 167°F) / (I model)</w:t>
            </w:r>
          </w:p>
        </w:tc>
      </w:tr>
      <w:tr>
        <w:trPr>
          <w:trHeight w:val="22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1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储存温度</w:t>
            </w:r>
          </w:p>
        </w:tc>
        <w:tc>
          <w:tcPr>
            <w:tcW w:w="244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-40 ~ 85°C (-40 ~ 185°F)</w:t>
            </w:r>
          </w:p>
        </w:tc>
      </w:tr>
      <w:tr>
        <w:trPr>
          <w:trHeight w:val="215"/>
        </w:trPr>
        <w:tc>
          <w:tcPr>
            <w:tcW w:w="130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工作湿度</w:t>
            </w:r>
          </w:p>
        </w:tc>
        <w:tc>
          <w:tcPr>
            <w:tcW w:w="24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10 ~ 95% (non-condensing)</w:t>
            </w:r>
          </w:p>
        </w:tc>
      </w:tr>
      <w:tr>
        <w:trPr>
          <w:trHeight w:val="218"/>
        </w:trPr>
        <w:tc>
          <w:tcPr>
            <w:tcW w:w="130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储存湿度</w:t>
            </w:r>
          </w:p>
        </w:tc>
        <w:tc>
          <w:tcPr>
            <w:tcW w:w="24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10 ~ 95% (non-condensing)</w:t>
            </w:r>
          </w:p>
        </w:tc>
      </w:tr>
      <w:tr>
        <w:trPr>
          <w:trHeight w:val="217"/>
        </w:trPr>
        <w:tc>
          <w:tcPr>
            <w:tcW w:w="13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MTBF</w:t>
            </w:r>
          </w:p>
        </w:tc>
        <w:tc>
          <w:tcPr>
            <w:tcW w:w="24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TBD</w:t>
            </w:r>
          </w:p>
        </w:tc>
      </w:tr>
    </w:tbl>
    <w:p>
      <w:pPr>
        <w:spacing w:after="0" w:line="15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认证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安全</w:t>
            </w:r>
          </w:p>
        </w:tc>
        <w:tc>
          <w:tcPr>
            <w:tcW w:w="158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UL 60950</w:t>
            </w:r>
          </w:p>
        </w:tc>
      </w:tr>
      <w:tr>
        <w:trPr>
          <w:trHeight w:val="214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EMI</w:t>
            </w:r>
          </w:p>
        </w:tc>
        <w:tc>
          <w:tcPr>
            <w:tcW w:w="158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4"/>
              </w:rPr>
              <w:t>CE, FCC Class A</w:t>
            </w:r>
          </w:p>
        </w:tc>
      </w:tr>
      <w:tr>
        <w:trPr>
          <w:trHeight w:val="117"/>
        </w:trPr>
        <w:tc>
          <w:tcPr>
            <w:tcW w:w="120" w:type="dxa"/>
            <w:vAlign w:val="bottom"/>
          </w:tcPr>
          <w:p>
            <w:pPr>
              <w:jc w:val="right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3"/>
                <w:szCs w:val="13"/>
                <w:b w:val="1"/>
                <w:bCs w:val="1"/>
                <w:color w:val="auto"/>
              </w:rPr>
              <w:t></w:t>
            </w:r>
          </w:p>
        </w:tc>
        <w:tc>
          <w:tcPr>
            <w:tcW w:w="1000" w:type="dxa"/>
            <w:vAlign w:val="bottom"/>
          </w:tcPr>
          <w:p>
            <w:pPr>
              <w:ind w:left="60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EMS</w:t>
            </w:r>
          </w:p>
        </w:tc>
        <w:tc>
          <w:tcPr>
            <w:tcW w:w="1580" w:type="dxa"/>
            <w:vAlign w:val="bottom"/>
          </w:tcPr>
          <w:p>
            <w:pPr>
              <w:ind w:left="640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EN 61000-4-2</w:t>
            </w: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540" w:space="600"/>
            <w:col w:w="5140"/>
          </w:cols>
          <w:pgMar w:left="1120" w:top="1041" w:right="840" w:bottom="0" w:gutter="0" w:footer="0" w:header="0"/>
          <w:type w:val="continuous"/>
        </w:sect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电源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电力消耗</w:t>
      </w: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电源输入</w:t>
      </w: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故障输出</w:t>
      </w: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机构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80"/>
        <w:spacing w:after="0" w:line="170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>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尺寸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 xml:space="preserve"> (W x H x D)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外壳</w:t>
      </w: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安装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5.8W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12 ~ 48 V</w:t>
      </w:r>
      <w:r>
        <w:rPr>
          <w:rFonts w:ascii="Helvetica" w:cs="Helvetica" w:eastAsia="Helvetica" w:hAnsi="Helvetica"/>
          <w:sz w:val="8"/>
          <w:szCs w:val="8"/>
          <w:color w:val="auto"/>
        </w:rPr>
        <w:t>DC</w:t>
      </w:r>
      <w:r>
        <w:rPr>
          <w:rFonts w:ascii="Helvetica" w:cs="Helvetica" w:eastAsia="Helvetica" w:hAnsi="Helvetica"/>
          <w:sz w:val="14"/>
          <w:szCs w:val="14"/>
          <w:color w:val="auto"/>
        </w:rPr>
        <w:t>, redundant dual inputs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 Relay Output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jc w:val="both"/>
        <w:ind w:right="340" w:hanging="22"/>
        <w:spacing w:after="0" w:line="308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30 x 140 x 95 mm (1.18" x 5.51" x 3.74") IP30, Metal shell with solid mounting kits DIN-rail, Wall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EN 61000-4-3</w:t>
            </w:r>
          </w:p>
        </w:tc>
      </w:tr>
      <w:tr>
        <w:trPr>
          <w:trHeight w:val="19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EN 61000-4-4</w:t>
            </w:r>
          </w:p>
        </w:tc>
      </w:tr>
      <w:tr>
        <w:trPr>
          <w:trHeight w:val="19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EN 61000-4-5</w:t>
            </w:r>
          </w:p>
        </w:tc>
      </w:tr>
      <w:tr>
        <w:trPr>
          <w:trHeight w:val="19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EN 61000-4-6</w:t>
            </w:r>
          </w:p>
        </w:tc>
      </w:tr>
      <w:tr>
        <w:trPr>
          <w:trHeight w:val="19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EN 61000-4-8</w:t>
            </w:r>
          </w:p>
        </w:tc>
      </w:tr>
      <w:tr>
        <w:trPr>
          <w:trHeight w:val="222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IEC 60068-2-27</w:t>
            </w:r>
          </w:p>
        </w:tc>
      </w:tr>
      <w:tr>
        <w:trPr>
          <w:trHeight w:val="218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IEC 60068-2-32</w:t>
            </w:r>
          </w:p>
        </w:tc>
      </w:tr>
      <w:tr>
        <w:trPr>
          <w:trHeight w:val="218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140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IEC 60068-2-6</w:t>
            </w:r>
          </w:p>
        </w:tc>
      </w:tr>
    </w:tbl>
    <w:p>
      <w:pPr>
        <w:spacing w:after="0" w:line="383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1420" w:space="360"/>
            <w:col w:w="2640" w:space="720"/>
            <w:col w:w="5140"/>
          </w:cols>
          <w:pgMar w:left="1120" w:top="1041" w:right="840" w:bottom="0" w:gutter="0" w:footer="0" w:header="0"/>
          <w:type w:val="continuous"/>
        </w:sect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保护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反极性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Present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过载电流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Present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907415</wp:posOffset>
            </wp:positionV>
            <wp:extent cx="6343015" cy="2406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jc w:val="right"/>
        <w:ind w:right="68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Communication</w:t>
      </w:r>
    </w:p>
    <w:p>
      <w:pPr>
        <w:sectPr>
          <w:pgSz w:w="12240" w:h="15930" w:orient="portrait"/>
          <w:cols w:equalWidth="0" w:num="1">
            <w:col w:w="10280"/>
          </w:cols>
          <w:pgMar w:left="1120" w:top="1041" w:right="84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86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updated: 12-Feb-2018</w:t>
      </w:r>
    </w:p>
    <w:p>
      <w:pPr>
        <w:sectPr>
          <w:pgSz w:w="12240" w:h="15930" w:orient="portrait"/>
          <w:cols w:equalWidth="0" w:num="1">
            <w:col w:w="10280"/>
          </w:cols>
          <w:pgMar w:left="1120" w:top="1041" w:right="8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8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EKI-2728/I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633222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0.25pt" to="498.3pt,10.2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238125</wp:posOffset>
                </wp:positionV>
                <wp:extent cx="0" cy="414020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18.75pt" to="497.8pt,344.7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244475</wp:posOffset>
                </wp:positionV>
                <wp:extent cx="63322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9.25pt" to="498.3pt,19.2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238125</wp:posOffset>
                </wp:positionV>
                <wp:extent cx="0" cy="41402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75pt" to="0.15pt,344.7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4371975</wp:posOffset>
                </wp:positionV>
                <wp:extent cx="63322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344.25pt" to="498.3pt,344.2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2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结构图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960"/>
        <w:spacing w:after="0"/>
        <w:tabs>
          <w:tab w:leader="none" w:pos="1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30 [1.18]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7"/>
          <w:szCs w:val="7"/>
          <w:color w:val="auto"/>
        </w:rPr>
        <w:t>[0.38]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640715</wp:posOffset>
            </wp:positionH>
            <wp:positionV relativeFrom="paragraph">
              <wp:posOffset>-40005</wp:posOffset>
            </wp:positionV>
            <wp:extent cx="422275" cy="13576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3" w:lineRule="exact"/>
        <w:rPr>
          <w:sz w:val="20"/>
          <w:szCs w:val="20"/>
          <w:color w:val="auto"/>
        </w:rPr>
      </w:pPr>
    </w:p>
    <w:tbl>
      <w:tblPr>
        <w:tblLayout w:type="fixed"/>
        <w:tblInd w:w="163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9.7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tbl>
      <w:tblPr>
        <w:tblLayout w:type="fixed"/>
        <w:tblInd w:w="162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0"/>
        </w:trPr>
        <w:tc>
          <w:tcPr>
            <w:tcW w:w="14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[5.5]140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jc w:val="right"/>
        <w:ind w:right="2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mm [inch]</w:t>
      </w:r>
    </w:p>
    <w:p>
      <w:pPr>
        <w:spacing w:after="0" w:line="8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18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70"/>
              </w:rPr>
              <w:t>15[0.59]</w:t>
            </w:r>
          </w:p>
        </w:tc>
        <w:tc>
          <w:tcPr>
            <w:tcW w:w="300" w:type="dxa"/>
            <w:vAlign w:val="bottom"/>
            <w:vMerge w:val="restart"/>
            <w:textDirection w:val="btLr"/>
          </w:tcPr>
          <w:p>
            <w:pPr>
              <w:ind w:right="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9"/>
              </w:rPr>
              <w:t>[0.59]</w:t>
            </w:r>
          </w:p>
        </w:tc>
        <w:tc>
          <w:tcPr>
            <w:tcW w:w="1260" w:type="dxa"/>
            <w:vAlign w:val="bottom"/>
          </w:tcPr>
          <w:p>
            <w:pPr>
              <w:jc w:val="right"/>
              <w:ind w:right="5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16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ind w:right="2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"/>
                <w:szCs w:val="3"/>
                <w:color w:val="auto"/>
                <w:w w:val="83"/>
              </w:rPr>
              <w:t>[0.63]7[0.28]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0"/>
        </w:trPr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  <w:w w:val="4294967295"/>
              </w:rPr>
              <w:t>[0.33]</w:t>
            </w:r>
          </w:p>
        </w:tc>
        <w:tc>
          <w:tcPr>
            <w:tcW w:w="1260" w:type="dxa"/>
            <w:vAlign w:val="bottom"/>
            <w:vMerge w:val="restart"/>
          </w:tcPr>
          <w:p>
            <w:pPr>
              <w:jc w:val="right"/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[0.63]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ind w:right="146"/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[0.28]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  <w:textDirection w:val="btLr"/>
          </w:tcPr>
          <w:p>
            <w:pPr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>8.30</w:t>
            </w: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extDirection w:val="btLr"/>
          </w:tcPr>
          <w:p>
            <w:pPr>
              <w:ind w:right="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15</w:t>
            </w:r>
          </w:p>
        </w:tc>
        <w:tc>
          <w:tcPr>
            <w:tcW w:w="1260" w:type="dxa"/>
            <w:vAlign w:val="bottom"/>
            <w:vMerge w:val="restart"/>
          </w:tcPr>
          <w:p>
            <w:pPr>
              <w:jc w:val="right"/>
              <w:ind w:right="67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18 [0.71]</w:t>
            </w:r>
          </w:p>
        </w:tc>
        <w:tc>
          <w:tcPr>
            <w:tcW w:w="5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86360</wp:posOffset>
            </wp:positionH>
            <wp:positionV relativeFrom="paragraph">
              <wp:posOffset>-681355</wp:posOffset>
            </wp:positionV>
            <wp:extent cx="1307465" cy="6076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1220" w:hanging="243"/>
        <w:spacing w:after="0"/>
        <w:tabs>
          <w:tab w:leader="none" w:pos="122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[4.09]</w:t>
      </w:r>
    </w:p>
    <w:p>
      <w:pPr>
        <w:spacing w:after="0" w:line="17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960"/>
        <w:spacing w:after="0"/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95 [3.74]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385445</wp:posOffset>
            </wp:positionH>
            <wp:positionV relativeFrom="paragraph">
              <wp:posOffset>-125730</wp:posOffset>
            </wp:positionV>
            <wp:extent cx="1274445" cy="1659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2"/>
        </w:trPr>
        <w:tc>
          <w:tcPr>
            <w:tcW w:w="40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32.45</w:t>
            </w: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30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vMerge w:val="restart"/>
          </w:tcPr>
          <w:p>
            <w:pPr>
              <w:jc w:val="right"/>
              <w:ind w:righ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95 [3.74]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400" w:type="dxa"/>
            <w:vAlign w:val="bottom"/>
            <w:gridSpan w:val="3"/>
          </w:tcPr>
          <w:p>
            <w:pPr>
              <w:jc w:val="right"/>
              <w:ind w:right="4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[1.28]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[1.18]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380" w:type="dxa"/>
            <w:vAlign w:val="bottom"/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2108200</wp:posOffset>
            </wp:positionH>
            <wp:positionV relativeFrom="paragraph">
              <wp:posOffset>-217170</wp:posOffset>
            </wp:positionV>
            <wp:extent cx="2186940" cy="15716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tbl>
      <w:tblPr>
        <w:tblLayout w:type="fixed"/>
        <w:tblInd w:w="1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85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48 [1.89]  47 [1.85]</w:t>
            </w:r>
          </w:p>
        </w:tc>
        <w:tc>
          <w:tcPr>
            <w:tcW w:w="1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140 [5.51]</w:t>
            </w:r>
          </w:p>
        </w:tc>
        <w:tc>
          <w:tcPr>
            <w:tcW w:w="1340" w:type="dxa"/>
            <w:vAlign w:val="bottom"/>
            <w:textDirection w:val="btLr"/>
          </w:tcPr>
          <w:p>
            <w:pPr>
              <w:ind w:right="10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149. [5.89]70</w:t>
            </w:r>
          </w:p>
        </w:tc>
        <w:tc>
          <w:tcPr>
            <w:tcW w:w="4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66 [2.60]</w:t>
            </w:r>
          </w:p>
        </w:tc>
        <w:tc>
          <w:tcPr>
            <w:tcW w:w="1360" w:type="dxa"/>
            <w:vAlign w:val="bottom"/>
            <w:textDirection w:val="btLr"/>
          </w:tcPr>
          <w:p>
            <w:pPr>
              <w:ind w:right="10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74 [2.91]</w:t>
            </w:r>
          </w:p>
        </w:tc>
        <w:tc>
          <w:tcPr>
            <w:tcW w:w="12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140 [5.5]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5"/>
        </w:trPr>
        <w:tc>
          <w:tcPr>
            <w:tcW w:w="360" w:type="dxa"/>
            <w:vAlign w:val="bottom"/>
            <w:vMerge w:val="restart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16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27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gridSpan w:val="2"/>
          </w:tcPr>
          <w:p>
            <w:pPr>
              <w:jc w:val="right"/>
              <w:ind w:right="1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15 [0.59]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15 [0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highlight w:val="black"/>
              </w:rPr>
              <w:t>.5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9]</w:t>
            </w:r>
          </w:p>
        </w:tc>
        <w:tc>
          <w:tcPr>
            <w:tcW w:w="1780" w:type="dxa"/>
            <w:vAlign w:val="bottom"/>
            <w:gridSpan w:val="2"/>
          </w:tcPr>
          <w:p>
            <w:pPr>
              <w:jc w:val="right"/>
              <w:ind w:right="10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7.50 [0.30]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[0.63]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[0.28]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73"/>
              </w:rPr>
              <w:t>[0.28]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40" w:type="dxa"/>
            <w:vAlign w:val="bottom"/>
            <w:textDirection w:val="btLr"/>
          </w:tcPr>
          <w:p>
            <w:pPr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73"/>
              </w:rPr>
              <w:t>[0.63]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extDirection w:val="btLr"/>
          </w:tcPr>
          <w:p>
            <w:pPr>
              <w:ind w:righ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</w:t>
            </w:r>
          </w:p>
        </w:tc>
        <w:tc>
          <w:tcPr>
            <w:tcW w:w="1500" w:type="dxa"/>
            <w:vAlign w:val="bottom"/>
            <w:gridSpan w:val="2"/>
            <w:textDirection w:val="btLr"/>
          </w:tcPr>
          <w:p>
            <w:pPr>
              <w:ind w:right="12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16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385445</wp:posOffset>
            </wp:positionH>
            <wp:positionV relativeFrom="paragraph">
              <wp:posOffset>-280035</wp:posOffset>
            </wp:positionV>
            <wp:extent cx="1155700" cy="3689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1780" w:space="340"/>
            <w:col w:w="78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Panel Cut-out Dimensions: 30 x 140 x 95 mm (1.18" x 5.51" x 3.74")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EKI-2728-CE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8-port Gigabit Unmanaged Switch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EKI-2728I-CE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8-port Gigabit Unmanaged Switch w/wide temp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3474720</wp:posOffset>
                </wp:positionV>
                <wp:extent cx="6331585" cy="16446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-0.2499pt;margin-top:273.6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3486785</wp:posOffset>
                </wp:positionV>
                <wp:extent cx="1560195" cy="13970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50.25pt;margin-top:274.5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%1"/>
      <w:numFmt w:val="decimal"/>
      <w:start w:val="104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2019-11-18T15:59:43Z</dcterms:created>
  <dcterms:modified xsi:type="dcterms:W3CDTF">2019-11-18T15:59:43Z</dcterms:modified>
</cp:coreProperties>
</file>