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 w:right="52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9"/>
          <w:szCs w:val="69"/>
          <w:b w:val="1"/>
          <w:bCs w:val="1"/>
          <w:color w:val="00044C"/>
        </w:rPr>
        <w:t>EKI-5629CI EKI-5626CI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104775</wp:posOffset>
            </wp:positionV>
            <wp:extent cx="3075940" cy="2304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7"/>
          <w:szCs w:val="27"/>
          <w:b w:val="1"/>
          <w:bCs w:val="1"/>
          <w:color w:val="333333"/>
        </w:rPr>
        <w:t>8FE+2GE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33333"/>
        </w:rPr>
        <w:t>组合以太网前置交换机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16FE+2GE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组合以太网前置交换机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-3128010</wp:posOffset>
                </wp:positionH>
                <wp:positionV relativeFrom="paragraph">
                  <wp:posOffset>118110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6.2999pt,9.3pt" to="252.3pt,9.3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226695</wp:posOffset>
                </wp:positionV>
                <wp:extent cx="3075940" cy="23037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0.1pt;margin-top:17.85pt;width:242.2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220" w:space="720"/>
            <w:col w:w="5040"/>
          </w:cols>
          <w:pgMar w:left="1120" w:top="443" w:right="1140" w:bottom="0" w:gutter="0" w:footer="0" w:header="0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“</w:t>
      </w:r>
      <w:r>
        <w:rPr>
          <w:rFonts w:ascii="宋体" w:cs="宋体" w:eastAsia="宋体" w:hAnsi="宋体"/>
          <w:sz w:val="16"/>
          <w:szCs w:val="16"/>
          <w:color w:val="auto"/>
        </w:rPr>
        <w:t>自动化语言</w:t>
      </w:r>
      <w:r>
        <w:rPr>
          <w:rFonts w:ascii="Arial" w:cs="Arial" w:eastAsia="Arial" w:hAnsi="Arial"/>
          <w:sz w:val="16"/>
          <w:szCs w:val="16"/>
          <w:color w:val="auto"/>
        </w:rPr>
        <w:t>”</w:t>
      </w:r>
      <w:r>
        <w:rPr>
          <w:rFonts w:ascii="Helvetica" w:cs="Helvetica" w:eastAsia="Helvetica" w:hAnsi="Helvetica"/>
          <w:sz w:val="16"/>
          <w:szCs w:val="16"/>
          <w:color w:val="auto"/>
        </w:rPr>
        <w:t>Modbus/TCP</w:t>
      </w:r>
      <w:r>
        <w:rPr>
          <w:rFonts w:ascii="宋体" w:cs="宋体" w:eastAsia="宋体" w:hAnsi="宋体"/>
          <w:sz w:val="16"/>
          <w:szCs w:val="16"/>
          <w:color w:val="auto"/>
        </w:rPr>
        <w:t>协议，可用组态软件管理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“IT</w:t>
      </w:r>
      <w:r>
        <w:rPr>
          <w:rFonts w:ascii="宋体" w:cs="宋体" w:eastAsia="宋体" w:hAnsi="宋体"/>
          <w:sz w:val="16"/>
          <w:szCs w:val="16"/>
          <w:color w:val="auto"/>
        </w:rPr>
        <w:t>语言</w:t>
      </w:r>
      <w:r>
        <w:rPr>
          <w:rFonts w:ascii="Arial" w:cs="Arial" w:eastAsia="Arial" w:hAnsi="Arial"/>
          <w:sz w:val="16"/>
          <w:szCs w:val="16"/>
          <w:color w:val="auto"/>
        </w:rPr>
        <w:t>” SNMP</w:t>
      </w:r>
      <w:r>
        <w:rPr>
          <w:rFonts w:ascii="宋体" w:cs="宋体" w:eastAsia="宋体" w:hAnsi="宋体"/>
          <w:sz w:val="16"/>
          <w:szCs w:val="16"/>
          <w:color w:val="auto"/>
        </w:rPr>
        <w:t>协议，可方便采用网管</w:t>
      </w:r>
      <w:r>
        <w:rPr>
          <w:rFonts w:ascii="Arial" w:cs="Arial" w:eastAsia="Arial" w:hAnsi="Arial"/>
          <w:sz w:val="16"/>
          <w:szCs w:val="16"/>
          <w:color w:val="auto"/>
        </w:rPr>
        <w:t>NMS</w:t>
      </w:r>
      <w:r>
        <w:rPr>
          <w:rFonts w:ascii="宋体" w:cs="宋体" w:eastAsia="宋体" w:hAnsi="宋体"/>
          <w:sz w:val="16"/>
          <w:szCs w:val="16"/>
          <w:color w:val="auto"/>
        </w:rPr>
        <w:t>软件进行管理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基于</w:t>
      </w:r>
      <w:r>
        <w:rPr>
          <w:rFonts w:ascii="Arial" w:cs="Arial" w:eastAsia="Arial" w:hAnsi="Arial"/>
          <w:sz w:val="16"/>
          <w:szCs w:val="16"/>
          <w:color w:val="auto"/>
        </w:rPr>
        <w:t>QoS</w:t>
      </w:r>
      <w:r>
        <w:rPr>
          <w:rFonts w:ascii="宋体" w:cs="宋体" w:eastAsia="宋体" w:hAnsi="宋体"/>
          <w:sz w:val="16"/>
          <w:szCs w:val="16"/>
          <w:color w:val="auto"/>
        </w:rPr>
        <w:t>的</w:t>
      </w:r>
      <w:r>
        <w:rPr>
          <w:rFonts w:ascii="Arial" w:cs="Arial" w:eastAsia="Arial" w:hAnsi="Arial"/>
          <w:sz w:val="16"/>
          <w:szCs w:val="16"/>
          <w:color w:val="auto"/>
        </w:rPr>
        <w:t>VIP</w:t>
      </w:r>
      <w:r>
        <w:rPr>
          <w:rFonts w:ascii="宋体" w:cs="宋体" w:eastAsia="宋体" w:hAnsi="宋体"/>
          <w:sz w:val="16"/>
          <w:szCs w:val="16"/>
          <w:color w:val="auto"/>
        </w:rPr>
        <w:t>端口可保障关键数据的可靠传输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-40~75°C</w:t>
      </w:r>
      <w:r>
        <w:rPr>
          <w:rFonts w:ascii="宋体" w:cs="宋体" w:eastAsia="宋体" w:hAnsi="宋体"/>
          <w:sz w:val="16"/>
          <w:szCs w:val="16"/>
          <w:color w:val="auto"/>
        </w:rPr>
        <w:t>操作温度范围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color w:val="auto"/>
        </w:rPr>
        <w:t>仅限</w:t>
      </w:r>
      <w:r>
        <w:rPr>
          <w:rFonts w:ascii="Arial" w:cs="Arial" w:eastAsia="Arial" w:hAnsi="Arial"/>
          <w:sz w:val="16"/>
          <w:szCs w:val="16"/>
          <w:color w:val="auto"/>
        </w:rPr>
        <w:t>EKI-5629CI/5626CI</w:t>
      </w:r>
      <w:r>
        <w:rPr>
          <w:rFonts w:ascii="宋体" w:cs="宋体" w:eastAsia="宋体" w:hAnsi="宋体"/>
          <w:sz w:val="16"/>
          <w:szCs w:val="16"/>
          <w:color w:val="auto"/>
        </w:rPr>
        <w:t>型号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EMS level 3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工业标准更适合苛刻环境应用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8.4 ~52.8 VDC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宽电压输入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530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IEEE 802.3az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节能标准更加节能环保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both"/>
        <w:ind w:left="5300" w:right="1480"/>
        <w:spacing w:after="0" w:line="25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9,216 Bytes</w:t>
      </w:r>
      <w:r>
        <w:rPr>
          <w:rFonts w:ascii="宋体" w:cs="宋体" w:eastAsia="宋体" w:hAnsi="宋体"/>
          <w:sz w:val="16"/>
          <w:szCs w:val="16"/>
          <w:color w:val="auto"/>
        </w:rPr>
        <w:t>巨帧传输，让数据传输更高效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12~48V</w:t>
      </w:r>
      <w:r>
        <w:rPr>
          <w:rFonts w:ascii="宋体" w:cs="宋体" w:eastAsia="宋体" w:hAnsi="宋体"/>
          <w:sz w:val="16"/>
          <w:szCs w:val="16"/>
          <w:color w:val="auto"/>
        </w:rPr>
        <w:t>冗余直流电源输入及</w:t>
      </w:r>
      <w:r>
        <w:rPr>
          <w:rFonts w:ascii="Arial" w:cs="Arial" w:eastAsia="Arial" w:hAnsi="Arial"/>
          <w:sz w:val="16"/>
          <w:szCs w:val="16"/>
          <w:color w:val="auto"/>
        </w:rPr>
        <w:t>P-Fail</w:t>
      </w:r>
      <w:r>
        <w:rPr>
          <w:rFonts w:ascii="宋体" w:cs="宋体" w:eastAsia="宋体" w:hAnsi="宋体"/>
          <w:sz w:val="16"/>
          <w:szCs w:val="16"/>
          <w:color w:val="auto"/>
        </w:rPr>
        <w:t>继电器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环路故障自动诊断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168275</wp:posOffset>
            </wp:positionV>
            <wp:extent cx="1579880" cy="2489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19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EKI-5629C/CI</w:t>
      </w:r>
      <w:r>
        <w:rPr>
          <w:rFonts w:ascii="宋体" w:cs="宋体" w:eastAsia="宋体" w:hAnsi="宋体"/>
          <w:sz w:val="16"/>
          <w:szCs w:val="16"/>
          <w:color w:val="auto"/>
        </w:rPr>
        <w:t>及</w:t>
      </w:r>
      <w:r>
        <w:rPr>
          <w:rFonts w:ascii="Helvetica" w:cs="Helvetica" w:eastAsia="Helvetica" w:hAnsi="Helvetica"/>
          <w:sz w:val="16"/>
          <w:szCs w:val="16"/>
          <w:color w:val="auto"/>
        </w:rPr>
        <w:t>EKI-5626C/CI</w:t>
      </w:r>
      <w:r>
        <w:rPr>
          <w:rFonts w:ascii="宋体" w:cs="宋体" w:eastAsia="宋体" w:hAnsi="宋体"/>
          <w:sz w:val="16"/>
          <w:szCs w:val="16"/>
          <w:color w:val="auto"/>
        </w:rPr>
        <w:t>是全球首款兼备工控与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IT </w:t>
      </w:r>
      <w:r>
        <w:rPr>
          <w:rFonts w:ascii="宋体" w:cs="宋体" w:eastAsia="宋体" w:hAnsi="宋体"/>
          <w:sz w:val="16"/>
          <w:szCs w:val="16"/>
          <w:color w:val="auto"/>
        </w:rPr>
        <w:t>双重特质的非管理型工业以太网交换机。其支持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Modbus/TCP </w:t>
      </w:r>
      <w:r>
        <w:rPr>
          <w:rFonts w:ascii="宋体" w:cs="宋体" w:eastAsia="宋体" w:hAnsi="宋体"/>
          <w:sz w:val="16"/>
          <w:szCs w:val="16"/>
          <w:color w:val="auto"/>
        </w:rPr>
        <w:t>及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SNMP </w:t>
      </w:r>
      <w:r>
        <w:rPr>
          <w:rFonts w:ascii="宋体" w:cs="宋体" w:eastAsia="宋体" w:hAnsi="宋体"/>
          <w:sz w:val="16"/>
          <w:szCs w:val="16"/>
          <w:color w:val="auto"/>
        </w:rPr>
        <w:t>协议，可无缝连接</w:t>
      </w:r>
      <w:r>
        <w:rPr>
          <w:rFonts w:ascii="Helvetica" w:cs="Helvetica" w:eastAsia="Helvetica" w:hAnsi="Helvetica"/>
          <w:sz w:val="16"/>
          <w:szCs w:val="16"/>
          <w:color w:val="auto"/>
        </w:rPr>
        <w:t>SCADA</w:t>
      </w:r>
      <w:r>
        <w:rPr>
          <w:rFonts w:ascii="宋体" w:cs="宋体" w:eastAsia="宋体" w:hAnsi="宋体"/>
          <w:sz w:val="16"/>
          <w:szCs w:val="16"/>
          <w:color w:val="auto"/>
        </w:rPr>
        <w:t>系统及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IT </w:t>
      </w:r>
      <w:r>
        <w:rPr>
          <w:rFonts w:ascii="宋体" w:cs="宋体" w:eastAsia="宋体" w:hAnsi="宋体"/>
          <w:sz w:val="16"/>
          <w:szCs w:val="16"/>
          <w:color w:val="auto"/>
        </w:rPr>
        <w:t>网管软件，该款产品符合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IEEE 802.1p QoS- VIP 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- </w:t>
      </w:r>
      <w:r>
        <w:rPr>
          <w:rFonts w:ascii="宋体" w:cs="宋体" w:eastAsia="宋体" w:hAnsi="宋体"/>
          <w:sz w:val="16"/>
          <w:szCs w:val="16"/>
          <w:color w:val="auto"/>
        </w:rPr>
        <w:t>确保关键数据的可靠传送。此外，其拥有专用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VIP </w:t>
      </w:r>
      <w:r>
        <w:rPr>
          <w:rFonts w:ascii="宋体" w:cs="宋体" w:eastAsia="宋体" w:hAnsi="宋体"/>
          <w:sz w:val="16"/>
          <w:szCs w:val="16"/>
          <w:color w:val="auto"/>
        </w:rPr>
        <w:t>端口、自动环路故障检测、智能节能、智能故障诊断及支持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9,216 byte </w:t>
      </w:r>
      <w:r>
        <w:rPr>
          <w:rFonts w:ascii="宋体" w:cs="宋体" w:eastAsia="宋体" w:hAnsi="宋体"/>
          <w:sz w:val="16"/>
          <w:szCs w:val="16"/>
          <w:color w:val="auto"/>
        </w:rPr>
        <w:t>巨型帧高效传输，支持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8.4 ~ 52.8VDC </w:t>
      </w:r>
      <w:r>
        <w:rPr>
          <w:rFonts w:ascii="宋体" w:cs="宋体" w:eastAsia="宋体" w:hAnsi="宋体"/>
          <w:sz w:val="16"/>
          <w:szCs w:val="16"/>
          <w:color w:val="auto"/>
        </w:rPr>
        <w:t>冗余电源输入及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-40~75°C </w:t>
      </w:r>
      <w:r>
        <w:rPr>
          <w:rFonts w:ascii="宋体" w:cs="宋体" w:eastAsia="宋体" w:hAnsi="宋体"/>
          <w:sz w:val="16"/>
          <w:szCs w:val="16"/>
          <w:color w:val="auto"/>
        </w:rPr>
        <w:t>宽工作温度范围，保障严苛环境中的稳健运行，以抵御工业电阻的电磁接口。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标准</w:t>
            </w: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IEEE 802.3, 802.3u, 802.3x, 802.1p, 802.3az , 802.3ab</w:t>
            </w:r>
          </w:p>
        </w:tc>
      </w:tr>
      <w:tr>
        <w:trPr>
          <w:trHeight w:val="174"/>
        </w:trPr>
        <w:tc>
          <w:tcPr>
            <w:tcW w:w="140" w:type="dxa"/>
            <w:vAlign w:val="bottom"/>
          </w:tcPr>
          <w:p>
            <w:pPr>
              <w:ind w:left="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10/100/1000Base-T(X), Optional 100Base-FX,</w:t>
            </w:r>
          </w:p>
        </w:tc>
      </w:tr>
      <w:tr>
        <w:trPr>
          <w:trHeight w:val="17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1000Base-SX/LX/LHX/XD/ZX/EZX</w:t>
            </w:r>
          </w:p>
        </w:tc>
      </w:tr>
      <w:tr>
        <w:trPr>
          <w:trHeight w:val="167"/>
        </w:trPr>
        <w:tc>
          <w:tcPr>
            <w:tcW w:w="1320" w:type="dxa"/>
            <w:vAlign w:val="bottom"/>
            <w:gridSpan w:val="2"/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传输距离</w:t>
            </w: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Ethernet: UP to 100m (4-wire Cat.5e, Cat.6 RJ-45 cable</w:t>
            </w:r>
          </w:p>
        </w:tc>
      </w:tr>
      <w:tr>
        <w:trPr>
          <w:trHeight w:val="17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suggested for Gigabit port)</w:t>
            </w:r>
          </w:p>
        </w:tc>
      </w:tr>
      <w:tr>
        <w:trPr>
          <w:trHeight w:val="17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SFP: UP to 110km (depends on SFP)</w:t>
            </w:r>
          </w:p>
        </w:tc>
      </w:tr>
      <w:tr>
        <w:trPr>
          <w:trHeight w:val="170"/>
        </w:trPr>
        <w:tc>
          <w:tcPr>
            <w:tcW w:w="1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传输速度</w:t>
            </w: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Ethernet: 10/100Mbps Auto-Negotiation</w:t>
            </w:r>
          </w:p>
        </w:tc>
      </w:tr>
      <w:tr>
        <w:trPr>
          <w:trHeight w:val="17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Gigabit Copper: 10/100/1000Mbps, Auto-Negotiation</w:t>
            </w:r>
          </w:p>
        </w:tc>
      </w:tr>
      <w:tr>
        <w:trPr>
          <w:trHeight w:val="18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Gigabit Fiber: UP to 1000Mbps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30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连接器</w:t>
            </w: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EKI-5629CI: 8 x Fast Ethernet (RJ45) + 2 x Giga (RJ45/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SFP) combo ports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EKI-5626CI:16 x Fast Ethernet (RJ45) + 2 x Giga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(RJ45/SFP) combo ports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LED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指示灯</w:t>
            </w: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6-pin removable screw terminal (power &amp; relay)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P1, P2, P-Fail, Loop detection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10/100T(X): Link/Activity, Speed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Gigabit Copper: Link/Activity, Speed (1000 Mbps)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SFP: Lin k/Activity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开关属性</w:t>
      </w: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4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MAC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面板尺寸</w:t>
            </w:r>
          </w:p>
        </w:tc>
        <w:tc>
          <w:tcPr>
            <w:tcW w:w="1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数据包缓存</w:t>
            </w:r>
          </w:p>
        </w:tc>
        <w:tc>
          <w:tcPr>
            <w:tcW w:w="1540" w:type="dxa"/>
            <w:vAlign w:val="bottom"/>
          </w:tcPr>
          <w:p>
            <w:pPr>
              <w:ind w:left="3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4.1M bit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开关容量</w:t>
            </w:r>
          </w:p>
        </w:tc>
        <w:tc>
          <w:tcPr>
            <w:tcW w:w="1540" w:type="dxa"/>
            <w:vAlign w:val="bottom"/>
          </w:tcPr>
          <w:p>
            <w:pPr>
              <w:ind w:left="3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EKI-5629CI: 5.6 Gbps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Jumbo Frame</w:t>
            </w:r>
          </w:p>
        </w:tc>
        <w:tc>
          <w:tcPr>
            <w:tcW w:w="1540" w:type="dxa"/>
            <w:vAlign w:val="bottom"/>
          </w:tcPr>
          <w:p>
            <w:pPr>
              <w:ind w:left="3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EKI-5626CI: 7.2 Gbps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9216 bytes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电源</w:t>
      </w:r>
    </w:p>
    <w:p>
      <w:pPr>
        <w:spacing w:after="0" w:line="2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28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电力消耗</w:t>
            </w:r>
          </w:p>
        </w:tc>
        <w:tc>
          <w:tcPr>
            <w:tcW w:w="33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EKI-5629CI: 5.8W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4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EKI-5626CI: 8.2W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8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3320" w:type="dxa"/>
            <w:vAlign w:val="bottom"/>
          </w:tcPr>
          <w:p>
            <w:pPr>
              <w:ind w:left="4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12 ~ 48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8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 xml:space="preserve"> (8.4 ~ 52.8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8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), redundant dual inputs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故障输出</w:t>
            </w:r>
          </w:p>
        </w:tc>
        <w:tc>
          <w:tcPr>
            <w:tcW w:w="33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Relay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401320</wp:posOffset>
            </wp:positionV>
            <wp:extent cx="824230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机构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尺寸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(W x H x D)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74 x 120 x 84 mm</w:t>
      </w:r>
    </w:p>
    <w:p>
      <w:pPr>
        <w:spacing w:after="0" w:line="164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外壳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IP30, metal shell with solid mounting kits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安装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DIN-Rail, Wall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保护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反极性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89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过载电流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环境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操作温度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-40 ~ 75°C (-40 ~ 167°F)</w:t>
      </w:r>
    </w:p>
    <w:p>
      <w:pPr>
        <w:spacing w:after="0" w:line="167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-40 ~ 85°C (-40 ~ 185°F)</w:t>
      </w:r>
    </w:p>
    <w:p>
      <w:pPr>
        <w:spacing w:after="0" w:line="170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操作湿度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 w:line="167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MTBF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EKI-5629CI: 3,183,604 hours</w:t>
      </w:r>
    </w:p>
    <w:p>
      <w:pPr>
        <w:jc w:val="right"/>
        <w:ind w:right="14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EKI-5626CI: 2,825,281 hours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认证</w: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UL508, Class 1 Division 2, ATEX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CE/FCC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2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EMS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 (Level 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60" w:type="dxa"/>
            <w:vAlign w:val="bottom"/>
            <w:gridSpan w:val="2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60" w:type="dxa"/>
            <w:vAlign w:val="bottom"/>
            <w:gridSpan w:val="2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EKI-5629CI-AE</w:t>
            </w:r>
          </w:p>
        </w:tc>
        <w:tc>
          <w:tcPr>
            <w:tcW w:w="3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8FE + 2GE Combo Ethernet ProView Switch with Wide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EKI-5626CI-AE</w:t>
            </w:r>
          </w:p>
        </w:tc>
        <w:tc>
          <w:tcPr>
            <w:tcW w:w="3400" w:type="dxa"/>
            <w:vAlign w:val="bottom"/>
          </w:tcPr>
          <w:p>
            <w:pPr>
              <w:ind w:left="3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Temperature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3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16FE + 2GE Combo Ethernet ProView Switch with Wide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Temperature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341630</wp:posOffset>
                </wp:positionV>
                <wp:extent cx="5511800" cy="165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91.6999pt;margin-top:26.9pt;width:43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60" w:space="280"/>
            <w:col w:w="484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Communication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5-Mar-2018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EKI-5629CI &amp; EKI-5626CI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10.25pt" to="486.3pt,10.2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238125</wp:posOffset>
                </wp:positionV>
                <wp:extent cx="0" cy="78479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4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8pt,18.75pt" to="485.8pt,636.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244475</wp:posOffset>
                </wp:positionV>
                <wp:extent cx="6332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19.25pt" to="486.3pt,19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238125</wp:posOffset>
                </wp:positionV>
                <wp:extent cx="0" cy="78479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4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7999pt,18.75pt" to="-11.7999pt,636.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8079740</wp:posOffset>
                </wp:positionV>
                <wp:extent cx="63322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636.2pt" to="486.3pt,636.2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740"/>
          </w:cols>
          <w:pgMar w:left="1380" w:top="1440" w:right="1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b w:val="1"/>
          <w:bCs w:val="1"/>
          <w:color w:val="00044C"/>
        </w:rPr>
        <w:t>结构图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EKI-5629CI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80"/>
        </w:trPr>
        <w:tc>
          <w:tcPr>
            <w:tcW w:w="23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11.1 [0.439]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146050" cy="1752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6350" cy="971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33.4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35.6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4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Unit: mm [inch]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</w:tcPr>
          <w:p>
            <w:pPr>
              <w:jc w:val="right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[1.315]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[1.400]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-189230</wp:posOffset>
            </wp:positionV>
            <wp:extent cx="333375" cy="317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-189230</wp:posOffset>
            </wp:positionV>
            <wp:extent cx="46990" cy="317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-88900</wp:posOffset>
            </wp:positionV>
            <wp:extent cx="972820" cy="6496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2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2197" w:space="720"/>
            <w:col w:w="236" w:space="7"/>
            <w:col w:w="658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15</w:t>
      </w:r>
    </w:p>
    <w:p>
      <w:pPr>
        <w:jc w:val="center"/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[0.591]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-3810</wp:posOffset>
            </wp:positionV>
            <wp:extent cx="972820" cy="13855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700" w:type="dxa"/>
            <w:vAlign w:val="bottom"/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7.6 [0.299]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51.4 [2.024]</w:t>
            </w:r>
          </w:p>
        </w:tc>
      </w:tr>
      <w:tr>
        <w:trPr>
          <w:trHeight w:val="439"/>
        </w:trPr>
        <w:tc>
          <w:tcPr>
            <w:tcW w:w="700" w:type="dxa"/>
            <w:vAlign w:val="bottom"/>
            <w:textDirection w:val="btLr"/>
          </w:tcPr>
          <w:p>
            <w:pPr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10.9[0.429]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EKI-5626CI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84 [3.307]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11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30.9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1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[1.215]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[0.492]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 [0.354]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73 [2.874]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93 [3.661]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4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extDirection w:val="btLr"/>
          </w:tcPr>
          <w:p>
            <w:pPr>
              <w:ind w:righ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47 [1.850]</w:t>
            </w:r>
          </w:p>
        </w:tc>
        <w:tc>
          <w:tcPr>
            <w:tcW w:w="1820" w:type="dxa"/>
            <w:vAlign w:val="bottom"/>
            <w:textDirection w:val="btLr"/>
          </w:tcPr>
          <w:p>
            <w:pPr>
              <w:ind w:right="3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17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extDirection w:val="btLr"/>
          </w:tcPr>
          <w:p>
            <w:pPr>
              <w:ind w:righ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38 [1.496]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0"/>
        </w:trPr>
        <w:tc>
          <w:tcPr>
            <w:tcW w:w="380" w:type="dxa"/>
            <w:vAlign w:val="bottom"/>
            <w:textDirection w:val="btLr"/>
          </w:tcPr>
          <w:p>
            <w:pPr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711.461][0.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9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16.4 [0.644]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33.4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35.6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80" w:type="dxa"/>
            <w:vAlign w:val="bottom"/>
            <w:vMerge w:val="restart"/>
            <w:textDirection w:val="btLr"/>
          </w:tcPr>
          <w:p>
            <w:pPr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1 439]11.[0.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[1.315]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[1.400]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-3295650</wp:posOffset>
            </wp:positionV>
            <wp:extent cx="3596005" cy="23355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193040</wp:posOffset>
            </wp:positionH>
            <wp:positionV relativeFrom="paragraph">
              <wp:posOffset>-386080</wp:posOffset>
            </wp:positionV>
            <wp:extent cx="913765" cy="7346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220" w:space="460"/>
            <w:col w:w="706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15</w:t>
      </w:r>
    </w:p>
    <w:p>
      <w:pPr>
        <w:jc w:val="center"/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[0.591]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706120</wp:posOffset>
            </wp:positionH>
            <wp:positionV relativeFrom="paragraph">
              <wp:posOffset>-5080</wp:posOffset>
            </wp:positionV>
            <wp:extent cx="962025" cy="13665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72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7.6 [0.299]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51.4 [2.024]</w:t>
            </w:r>
          </w:p>
        </w:tc>
      </w:tr>
      <w:tr>
        <w:trPr>
          <w:trHeight w:val="441"/>
        </w:trPr>
        <w:tc>
          <w:tcPr>
            <w:tcW w:w="720" w:type="dxa"/>
            <w:vAlign w:val="bottom"/>
            <w:textDirection w:val="btLr"/>
          </w:tcPr>
          <w:p>
            <w:pPr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10.9[0.429]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40" w:type="dxa"/>
            <w:vAlign w:val="bottom"/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84 [3.307]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20" w:type="dxa"/>
            <w:vAlign w:val="bottom"/>
          </w:tcPr>
          <w:p>
            <w:pPr>
              <w:jc w:val="right"/>
              <w:ind w:right="13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30.9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9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5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[1.215]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[0.492]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 [0.354]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73 [2.874]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93 [3.661]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extDirection w:val="btLr"/>
          </w:tcPr>
          <w:p>
            <w:pPr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47 [1.850]</w:t>
            </w:r>
          </w:p>
        </w:tc>
        <w:tc>
          <w:tcPr>
            <w:tcW w:w="1760" w:type="dxa"/>
            <w:vAlign w:val="bottom"/>
            <w:textDirection w:val="btLr"/>
          </w:tcPr>
          <w:p>
            <w:pPr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1620" w:type="dxa"/>
            <w:vAlign w:val="bottom"/>
            <w:textDirection w:val="btLr"/>
          </w:tcPr>
          <w:p>
            <w:pPr>
              <w:spacing w:after="0" w:line="204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extDirection w:val="btLr"/>
          </w:tcPr>
          <w:p>
            <w:pPr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38 [1.496]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-1428115</wp:posOffset>
            </wp:positionV>
            <wp:extent cx="3377565" cy="21151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640" w:space="600"/>
            <w:col w:w="650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27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338" w:type="dxa"/>
            <w:vAlign w:val="bottom"/>
            <w:textDirection w:val="btLr"/>
          </w:tcPr>
          <w:p>
            <w:pPr>
              <w:ind w:hanging="75"/>
              <w:spacing w:after="0" w:line="294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461][0. 711.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696595</wp:posOffset>
                </wp:positionV>
                <wp:extent cx="6331585" cy="1651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12.2499pt;margin-top:54.85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708660</wp:posOffset>
                </wp:positionV>
                <wp:extent cx="1560195" cy="139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38.25pt;margin-top:55.8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2009775</wp:posOffset>
            </wp:positionH>
            <wp:positionV relativeFrom="paragraph">
              <wp:posOffset>-201295</wp:posOffset>
            </wp:positionV>
            <wp:extent cx="796290" cy="2374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74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55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740"/>
      </w:cols>
      <w:pgMar w:left="1380" w:top="1440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2019-11-18T15:59:53Z</dcterms:created>
  <dcterms:modified xsi:type="dcterms:W3CDTF">2019-11-18T15:59:53Z</dcterms:modified>
</cp:coreProperties>
</file>