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11" w:h="730" w:wrap="none" w:hAnchor="page" w:x="10225" w:y="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智能</w:t>
      </w:r>
    </w:p>
    <w:p>
      <w:pPr>
        <w:pStyle w:val="Style4"/>
        <w:keepNext w:val="0"/>
        <w:keepLines w:val="0"/>
        <w:framePr w:w="3379" w:h="403" w:wrap="none" w:hAnchor="page" w:x="26699" w:y="1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34"/>
          <w:szCs w:val="34"/>
        </w:rPr>
      </w:pPr>
      <w:r>
        <w:rPr>
          <w:color w:val="8DD7F7"/>
          <w:spacing w:val="0"/>
          <w:w w:val="100"/>
          <w:position w:val="0"/>
          <w:sz w:val="34"/>
          <w:szCs w:val="34"/>
        </w:rPr>
        <w:t>工业控制计算机</w:t>
      </w:r>
    </w:p>
    <w:p>
      <w:pPr>
        <w:pStyle w:val="Style7"/>
        <w:keepNext w:val="0"/>
        <w:keepLines w:val="0"/>
        <w:framePr w:w="4406" w:h="1334" w:wrap="none" w:hAnchor="page" w:x="1633" w:y="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^PC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u w:val="single"/>
          <w:lang w:val="en-US" w:eastAsia="en-US" w:bidi="en-US"/>
        </w:rPr>
        <w:t>^NO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</w:t>
      </w:r>
    </w:p>
    <w:p>
      <w:pPr>
        <w:pStyle w:val="Style4"/>
        <w:keepNext w:val="0"/>
        <w:keepLines w:val="0"/>
        <w:framePr w:w="1603" w:h="470" w:wrap="none" w:hAnchor="page" w:x="17195" w:y="1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2285"/>
        <w:gridCol w:w="10550"/>
      </w:tblGrid>
      <w:tr>
        <w:trPr>
          <w:trHeight w:val="6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适配主板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21" w:lineRule="exact"/>
              <w:ind w:left="2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PICMG1.0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标准全长卡，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PICMG1.3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标准全长卡，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EPI2.0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标准全长卡，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EPE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标准全长卡，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Micro-ATX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标准单板，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标准单板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适配底板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30" w:lineRule="exact"/>
              <w:ind w:left="2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槽标准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PICMG 1.0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底板,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槽标准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PICMG 1.0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底板,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槽标准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PICMG 1.3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底板,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槽标准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EPI 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底板，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槽标准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EPE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底板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前置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船型开关、复位开关，电源、硬盘指示灯，带锁安全门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—个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5.25"CD-ROM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空间、两个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3.5"HDD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空间（做减展）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工作环境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50P;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（非凝结状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态）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-20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幻~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6010; 5%~90%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（非凝结状态）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PS2ATX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外形尺寸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（WXHXD）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835" w:h="3590" w:wrap="none" w:hAnchor="page" w:x="17214" w:y="243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482mmx 177 mm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470.4mm</w:t>
            </w:r>
          </w:p>
        </w:tc>
      </w:tr>
    </w:tbl>
    <w:p>
      <w:pPr>
        <w:framePr w:w="12835" w:h="3590" w:wrap="none" w:hAnchor="page" w:x="17214" w:y="2430"/>
        <w:widowControl w:val="0"/>
        <w:spacing w:line="1" w:lineRule="exact"/>
      </w:pPr>
    </w:p>
    <w:p>
      <w:pPr>
        <w:pStyle w:val="Style4"/>
        <w:keepNext w:val="0"/>
        <w:keepLines w:val="0"/>
        <w:framePr w:w="6384" w:h="2784" w:wrap="none" w:hAnchor="page" w:x="1518" w:y="8094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8"/>
        <w:keepNext w:val="0"/>
        <w:keepLines w:val="0"/>
        <w:framePr w:w="6384" w:h="2784" w:wrap="none" w:hAnchor="page" w:x="1518" w:y="8094"/>
        <w:widowControl w:val="0"/>
        <w:shd w:val="clear" w:color="auto" w:fill="auto"/>
        <w:bidi w:val="0"/>
        <w:spacing w:before="0" w:after="0" w:line="355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IPC-810E</w:t>
      </w:r>
      <w:r>
        <w:rPr>
          <w:color w:val="000000"/>
          <w:spacing w:val="0"/>
          <w:w w:val="100"/>
          <w:position w:val="0"/>
        </w:rPr>
        <w:t>是一款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4U</w:t>
      </w:r>
      <w:r>
        <w:rPr>
          <w:color w:val="000000"/>
          <w:spacing w:val="0"/>
          <w:w w:val="100"/>
          <w:position w:val="0"/>
        </w:rPr>
        <w:t>上架机箱</w:t>
      </w:r>
      <w:r>
        <w:rPr>
          <w:i/>
          <w:iCs/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</w:rPr>
        <w:t>机箱为优质钢板成型，机箱的压 条的设计可调整高度，可满足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EPI</w:t>
      </w:r>
      <w:r>
        <w:rPr>
          <w:color w:val="000000"/>
          <w:spacing w:val="0"/>
          <w:w w:val="100"/>
          <w:position w:val="0"/>
        </w:rPr>
        <w:t>主板和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扩展卡高度；兼容公 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FSC ' EPI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ERE ' EC9 ' EC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0</w:t>
      </w:r>
      <w:r>
        <w:rPr>
          <w:color w:val="000000"/>
          <w:spacing w:val="0"/>
          <w:w w:val="100"/>
          <w:position w:val="0"/>
        </w:rPr>
        <w:t>等各类全系列全长卡和工业母 板；可装一个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5.25,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CD-ROM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color w:val="000000"/>
          <w:spacing w:val="0"/>
          <w:w w:val="100"/>
          <w:position w:val="0"/>
        </w:rPr>
        <w:t>个破盘并带有减振功能；结将 合理，设计先进；有广阔的市场空间，可广泛应用于通信、网 络、金融、电力、交通、军事、工业自动化等各领域。</w:t>
      </w:r>
    </w:p>
    <w:p>
      <w:pPr>
        <w:pStyle w:val="Style4"/>
        <w:keepNext w:val="0"/>
        <w:keepLines w:val="0"/>
        <w:framePr w:w="5875" w:h="3072" w:wrap="none" w:hAnchor="page" w:x="8238" w:y="8084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8"/>
        <w:keepNext w:val="0"/>
        <w:keepLines w:val="0"/>
        <w:framePr w:w="5875" w:h="3072" w:wrap="none" w:hAnchor="page" w:x="8238" w:y="8084"/>
        <w:widowControl w:val="0"/>
        <w:shd w:val="clear" w:color="auto" w:fill="auto"/>
        <w:bidi w:val="0"/>
        <w:spacing w:before="0" w:after="0" w:line="35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整机加强：机箱两侧压有加强筋，很大程度上提高了机 箱强度</w:t>
      </w:r>
    </w:p>
    <w:p>
      <w:pPr>
        <w:pStyle w:val="Style18"/>
        <w:keepNext w:val="0"/>
        <w:keepLines w:val="0"/>
        <w:framePr w:w="5875" w:h="3072" w:wrap="none" w:hAnchor="page" w:x="8238" w:y="8084"/>
        <w:widowControl w:val="0"/>
        <w:shd w:val="clear" w:color="auto" w:fill="auto"/>
        <w:bidi w:val="0"/>
        <w:spacing w:before="0" w:after="0" w:line="35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开盖方便：箱盖后部开有握手位，方便箱盖抽拉</w:t>
      </w:r>
    </w:p>
    <w:p>
      <w:pPr>
        <w:pStyle w:val="Style18"/>
        <w:keepNext w:val="0"/>
        <w:keepLines w:val="0"/>
        <w:framePr w:w="5875" w:h="3072" w:wrap="none" w:hAnchor="page" w:x="8238" w:y="8084"/>
        <w:widowControl w:val="0"/>
        <w:shd w:val="clear" w:color="auto" w:fill="auto"/>
        <w:bidi w:val="0"/>
        <w:spacing w:before="0" w:after="0" w:line="35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方便防尘网的更换：防尘网框抽拉部位结构设计有导 轨，方便抽拉更换防尘网</w:t>
      </w:r>
    </w:p>
    <w:p>
      <w:pPr>
        <w:pStyle w:val="Style18"/>
        <w:keepNext w:val="0"/>
        <w:keepLines w:val="0"/>
        <w:framePr w:w="5875" w:h="3072" w:wrap="none" w:hAnchor="page" w:x="8238" w:y="8084"/>
        <w:widowControl w:val="0"/>
        <w:shd w:val="clear" w:color="auto" w:fill="auto"/>
        <w:bidi w:val="0"/>
        <w:spacing w:before="0" w:after="0" w:line="37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 EMC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</w:rPr>
        <w:t>光駆部位折边设计，与机箱紧密贴合，抗幅射能 力加强</w:t>
      </w:r>
    </w:p>
    <w:p>
      <w:pPr>
        <w:pStyle w:val="Style4"/>
        <w:keepNext w:val="0"/>
        <w:keepLines w:val="0"/>
        <w:framePr w:w="1939" w:h="451" w:wrap="none" w:hAnchor="page" w:x="1576" w:y="13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4"/>
        <w:keepNext w:val="0"/>
        <w:keepLines w:val="0"/>
        <w:framePr w:w="346" w:h="365" w:wrap="none" w:hAnchor="page" w:x="1278" w:y="18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26</w:t>
      </w:r>
    </w:p>
    <w:tbl>
      <w:tblPr>
        <w:tblOverlap w:val="never"/>
        <w:jc w:val="left"/>
        <w:tblLayout w:type="fixed"/>
      </w:tblPr>
      <w:tblGrid>
        <w:gridCol w:w="1824"/>
        <w:gridCol w:w="11117"/>
      </w:tblGrid>
      <w:tr>
        <w:trPr>
          <w:trHeight w:val="52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tabs>
                <w:tab w:leader="underscore" w:pos="127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6"/>
                <w:szCs w:val="56"/>
                <w:lang w:val="en-US" w:eastAsia="en-US" w:bidi="en-US"/>
              </w:rPr>
              <w:t>WWgM</w:t>
            </w:r>
            <w:r>
              <w:rPr>
                <w:rFonts w:ascii="Times New Roman" w:eastAsia="Times New Roman" w:hAnsi="Times New Roman" w:cs="Times New Roman"/>
                <w:color w:val="2CC3F4"/>
                <w:spacing w:val="0"/>
                <w:w w:val="100"/>
                <w:position w:val="0"/>
                <w:sz w:val="56"/>
                <w:szCs w:val="56"/>
                <w:lang w:val="en-US" w:eastAsia="en-US" w:bidi="en-US"/>
              </w:rPr>
              <w:tab/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tabs>
                <w:tab w:pos="570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44"/>
                <w:szCs w:val="4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FFFFFF"/>
                <w:lang w:val="zh-TW" w:eastAsia="zh-TW" w:bidi="zh-TW"/>
              </w:rPr>
              <w:t>1</w:t>
            </w:r>
          </w:p>
        </w:tc>
      </w:tr>
      <w:tr>
        <w:trPr>
          <w:trHeight w:val="10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0010-081031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64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19,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IPG810E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/ECS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6V2NA（C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6COM/G2120/2G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/AEC250W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电源/不带光驱/不带键盘及 鼠标，除主板自带外讓接口外，还引出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"COM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（主板自带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个，共引出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LPL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（主板自带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PCI-E*1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插槽）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扩展槽位）</w:t>
            </w:r>
          </w:p>
        </w:tc>
      </w:tr>
      <w:tr>
        <w:trPr>
          <w:trHeight w:val="108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0010-083521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50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IPG81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。■机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/EC04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6V2NA（C）-6COM/G1620/2G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/A1X250W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电源/不带光駆/不带键盘及 鼠标，除主板自带外露接口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外.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还弓［出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（主板自带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个，共引出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（主板自带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PCI-E*1</w:t>
            </w:r>
          </w:p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（PCI-EU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插槽】、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P6E*16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扩展槽位）</w:t>
            </w:r>
          </w:p>
        </w:tc>
      </w:tr>
      <w:tr>
        <w:trPr>
          <w:trHeight w:val="11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0010-094221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6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9,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IPG81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■机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/ECCM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6VNA（C）-6COM-2P/G1620/2G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/A1X250W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电源/不带光駆/不带键盘 及鼠标，单网口/外漏处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（后置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个，前置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个）/主板内置插针可再引出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无标配线材，需另调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线引出/板载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个外置串口，内置板载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个插针，无标配线材，需另调串口线引出/无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LP17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不带光驱/不带键盘及鳳标/带散熱器，主板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 （PCI-E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插槽｝、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扩展槽位）</w:t>
            </w:r>
          </w:p>
        </w:tc>
      </w:tr>
      <w:tr>
        <w:trPr>
          <w:trHeight w:val="9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0010-098891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5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IP310E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7V2NA-H81-6COM/G1820/2G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/5O0GSE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/ATX250W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电源/不带光驱/不带键盘及 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»2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个千兆网口，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VGA+DVI-D5RS,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接口（前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4） ,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PS2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组音频接口，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LPT.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住板自 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E*1 （PCI-E*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俯櫛、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扩展槽位）</w:t>
            </w:r>
          </w:p>
        </w:tc>
      </w:tr>
      <w:tr>
        <w:trPr>
          <w:trHeight w:val="10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0010-086701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69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IPG810EJg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/£0）"1817¥2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村人心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87/61820/26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500&amp;£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盘小昧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囚电源/带光驱/不带键盘及鼠标，除 主板自带外再接口外，还引出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（主板自带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个，共引出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LPT.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住板自带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 （PCI-E*4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 榊）、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展權位）</w:t>
            </w:r>
          </w:p>
        </w:tc>
      </w:tr>
      <w:tr>
        <w:trPr>
          <w:trHeight w:val="121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0010-102571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34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IPCW10E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/ECO1818 （B） -6COM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/G3900/4G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/ATX250W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电源/不带光驱/不帯键盘及 舫，外雌口：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个千兆网口、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（另外调线材，可再引出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口）、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g2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后置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USB3.0,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另外调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线材，可再引出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PS2, VGA+HDMI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双显，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组音頻接口，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 （PCI-E»4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 槽）、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PCI-E*16T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展槽位</w:t>
            </w:r>
          </w:p>
        </w:tc>
      </w:tr>
      <w:tr>
        <w:trPr>
          <w:trHeight w:val="12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0010-102421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69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IPG810E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/ECO1818 （B） -5P-6COM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/G3900/4G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/ATX250W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电源/不带光驱/不带键盘 及鼠标，外露接口：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个千兆网口、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（另外调线材，可再引出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口）、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（前置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局置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USB3.0,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另外调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线赫，可再弓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|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PS2, VGA+HDMI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双显，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［组音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频接口，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PCI-E*1 （PCI-E*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俯 槽）、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PCI-E*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照展槽位）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0010-070281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5" w:lineRule="exact"/>
              <w:ind w:left="24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IPG810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谨机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/EPE-1815VNA-H61/G2120/2G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/500Ggg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/A1X250W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DVD-ROM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光驱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EPE-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6111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P6（6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ISA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PCI-EX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外露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。：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个网口、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（配 件）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、［个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PS2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0010-096881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19,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IPG810E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/EPE-1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6/G3900/4G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/ADC25DW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电源/不带光驱/不带键盘及鼠标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/EPE-61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P6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ISA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、］个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PCI-EX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网口、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DP+VGAjR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显、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PS2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（前面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后面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USB3.0）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（配件）、主板上有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插针，无标配线材，如需使用可选配线材引出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0010-096901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2941" w:h="11405" w:wrap="none" w:hAnchor="page" w:x="17185" w:y="6327"/>
              <w:widowControl w:val="0"/>
              <w:shd w:val="clear" w:color="auto" w:fill="auto"/>
              <w:bidi w:val="0"/>
              <w:spacing w:before="0" w:after="0" w:line="240" w:lineRule="exact"/>
              <w:ind w:left="24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IPCtl0E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整机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/EPE-1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6/I5-6500/4G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/ATX300W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电源/不带光驱/不带键盘及鳳标/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EPE-61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2E5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PCI, 44-PCIEM,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）/外露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。：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个网口、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DP+VGAjR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显、］个?$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（前面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USB2.0,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后面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USB3.0）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（配件）、主板上有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LHW,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 w:bidi="zh-TW"/>
              </w:rPr>
              <w:t>线材，如需使用可选曲材引出</w:t>
            </w:r>
          </w:p>
        </w:tc>
      </w:tr>
    </w:tbl>
    <w:p>
      <w:pPr>
        <w:framePr w:w="12941" w:h="11405" w:wrap="none" w:hAnchor="page" w:x="17185" w:y="6327"/>
        <w:widowControl w:val="0"/>
        <w:spacing w:line="1" w:lineRule="exact"/>
      </w:pPr>
    </w:p>
    <w:p>
      <w:pPr>
        <w:pStyle w:val="Style31"/>
        <w:keepNext w:val="0"/>
        <w:keepLines w:val="0"/>
        <w:framePr w:w="528" w:h="221" w:wrap="none" w:hAnchor="page" w:x="1720" w:y="18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4"/>
        <w:keepNext w:val="0"/>
        <w:keepLines w:val="0"/>
        <w:framePr w:w="374" w:h="365" w:wrap="none" w:hAnchor="page" w:x="29416" w:y="18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27</w:t>
      </w:r>
    </w:p>
    <w:p>
      <w:pPr>
        <w:pStyle w:val="Style31"/>
        <w:keepNext w:val="0"/>
        <w:keepLines w:val="0"/>
        <w:framePr w:w="528" w:h="221" w:wrap="none" w:hAnchor="page" w:x="29876" w:y="18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1853565</wp:posOffset>
            </wp:positionH>
            <wp:positionV relativeFrom="margin">
              <wp:posOffset>2553970</wp:posOffset>
            </wp:positionV>
            <wp:extent cx="2858770" cy="16275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858770" cy="1627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5175885</wp:posOffset>
            </wp:positionH>
            <wp:positionV relativeFrom="margin">
              <wp:posOffset>2590800</wp:posOffset>
            </wp:positionV>
            <wp:extent cx="3157855" cy="157289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5785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1042670</wp:posOffset>
            </wp:positionH>
            <wp:positionV relativeFrom="margin">
              <wp:posOffset>8735695</wp:posOffset>
            </wp:positionV>
            <wp:extent cx="8131810" cy="26276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131810" cy="2627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680" w:h="21847" w:orient="landscape"/>
      <w:pgMar w:top="1555" w:right="1277" w:bottom="1084" w:left="1277" w:header="1127" w:footer="65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6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CharStyle5">
    <w:name w:val="Body text|2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8">
    <w:name w:val="Body text|4_"/>
    <w:basedOn w:val="DefaultParagraphFont"/>
    <w:link w:val="Style7"/>
    <w:rPr>
      <w:b/>
      <w:bCs/>
      <w:i w:val="0"/>
      <w:iCs w:val="0"/>
      <w:smallCaps w:val="0"/>
      <w:strike w:val="0"/>
      <w:color w:val="2CC3F4"/>
      <w:sz w:val="96"/>
      <w:szCs w:val="96"/>
      <w:u w:val="none"/>
      <w:shd w:val="clear" w:color="auto" w:fill="auto"/>
    </w:rPr>
  </w:style>
  <w:style w:type="character" w:customStyle="1" w:styleId="CharStyle11">
    <w:name w:val="Other|1_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Body text|1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25">
    <w:name w:val="Body text|5_"/>
    <w:basedOn w:val="DefaultParagraphFont"/>
    <w:link w:val="Style24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32">
    <w:name w:val="Body text|3_"/>
    <w:basedOn w:val="DefaultParagraphFont"/>
    <w:link w:val="Style3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Body text|6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auto"/>
      <w:spacing w:after="9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7">
    <w:name w:val="Body text|4"/>
    <w:basedOn w:val="Normal"/>
    <w:link w:val="CharStyle8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96"/>
      <w:szCs w:val="96"/>
      <w:u w:val="none"/>
      <w:shd w:val="clear" w:color="auto" w:fill="auto"/>
    </w:rPr>
  </w:style>
  <w:style w:type="paragraph" w:customStyle="1" w:styleId="Style10">
    <w:name w:val="Other|1"/>
    <w:basedOn w:val="Normal"/>
    <w:link w:val="CharStyle11"/>
    <w:pPr>
      <w:widowControl w:val="0"/>
      <w:shd w:val="clear" w:color="auto" w:fill="auto"/>
      <w:spacing w:line="237" w:lineRule="exact"/>
      <w:ind w:left="230" w:firstLine="2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8">
    <w:name w:val="Body text|1"/>
    <w:basedOn w:val="Normal"/>
    <w:link w:val="CharStyle19"/>
    <w:pPr>
      <w:widowControl w:val="0"/>
      <w:shd w:val="clear" w:color="auto" w:fill="auto"/>
      <w:spacing w:line="374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24">
    <w:name w:val="Body text|5"/>
    <w:basedOn w:val="Normal"/>
    <w:link w:val="CharStyle2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31">
    <w:name w:val="Body text|3"/>
    <w:basedOn w:val="Normal"/>
    <w:link w:val="CharStyle3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